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30CF9501" w:rsidR="00093264" w:rsidRPr="00FB1C88" w:rsidRDefault="00093264" w:rsidP="00093264">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B0C9F86" w14:textId="41DF8DE3"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w:t>
      </w:r>
      <w:r w:rsidR="00033D3E">
        <w:rPr>
          <w:rFonts w:ascii="Times New Roman" w:hAnsi="Times New Roman" w:cs="Times New Roman"/>
        </w:rPr>
        <w:t>10</w:t>
      </w:r>
      <w:r>
        <w:rPr>
          <w:rFonts w:ascii="Times New Roman" w:hAnsi="Times New Roman" w:cs="Times New Roman"/>
        </w:rPr>
        <w:t xml:space="preserve"> </w:t>
      </w:r>
      <w:r w:rsidR="00033D3E">
        <w:rPr>
          <w:rFonts w:ascii="Times New Roman" w:hAnsi="Times New Roman" w:cs="Times New Roman"/>
        </w:rPr>
        <w:t>Avtalerett</w:t>
      </w:r>
    </w:p>
    <w:p w14:paraId="5E50B8C9" w14:textId="17E19A3D"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033D3E">
        <w:rPr>
          <w:rFonts w:ascii="Times New Roman" w:hAnsi="Times New Roman" w:cs="Times New Roman"/>
        </w:rPr>
        <w:t>30.05.</w:t>
      </w:r>
      <w:r>
        <w:rPr>
          <w:rFonts w:ascii="Times New Roman" w:hAnsi="Times New Roman" w:cs="Times New Roman"/>
        </w:rPr>
        <w:t>202</w:t>
      </w:r>
      <w:r w:rsidR="00033D3E">
        <w:rPr>
          <w:rFonts w:ascii="Times New Roman" w:hAnsi="Times New Roman" w:cs="Times New Roman"/>
        </w:rPr>
        <w:t>2</w:t>
      </w:r>
    </w:p>
    <w:p w14:paraId="59CDE071" w14:textId="7462FA8B"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Kandidat: </w:t>
      </w:r>
      <w:r w:rsidR="00033D3E">
        <w:rPr>
          <w:rFonts w:ascii="Times New Roman" w:hAnsi="Times New Roman" w:cs="Times New Roman"/>
        </w:rPr>
        <w:t xml:space="preserve">Hannah </w:t>
      </w:r>
      <w:proofErr w:type="spellStart"/>
      <w:r w:rsidR="00033D3E">
        <w:rPr>
          <w:rFonts w:ascii="Times New Roman" w:hAnsi="Times New Roman" w:cs="Times New Roman"/>
        </w:rPr>
        <w:t>Solland</w:t>
      </w:r>
      <w:proofErr w:type="spellEnd"/>
      <w:r w:rsidR="00033D3E">
        <w:rPr>
          <w:rFonts w:ascii="Times New Roman" w:hAnsi="Times New Roman" w:cs="Times New Roman"/>
        </w:rPr>
        <w:t xml:space="preserve"> </w:t>
      </w:r>
    </w:p>
    <w:p w14:paraId="4A283EB2" w14:textId="77777777" w:rsidR="00093264" w:rsidRPr="00FB1C88" w:rsidRDefault="00093264" w:rsidP="00093264">
      <w:pPr>
        <w:jc w:val="center"/>
        <w:rPr>
          <w:rFonts w:ascii="Times New Roman" w:hAnsi="Times New Roman" w:cs="Times New Roman"/>
        </w:rPr>
      </w:pPr>
    </w:p>
    <w:p w14:paraId="3B2F3E04" w14:textId="07DC5014" w:rsidR="00381E9B" w:rsidRDefault="00093264" w:rsidP="00381E9B">
      <w:pPr>
        <w:jc w:val="center"/>
        <w:rPr>
          <w:rFonts w:ascii="Times New Roman" w:hAnsi="Times New Roman" w:cs="Times New Roman"/>
        </w:rPr>
      </w:pPr>
      <w:r w:rsidRPr="00381E9B">
        <w:rPr>
          <w:rFonts w:ascii="Times New Roman" w:hAnsi="Times New Roman" w:cs="Times New Roman"/>
        </w:rPr>
        <w:t>Besvarelse kommentert av:</w:t>
      </w:r>
      <w:r w:rsidRPr="00FB1C88">
        <w:rPr>
          <w:rFonts w:ascii="Times New Roman" w:hAnsi="Times New Roman" w:cs="Times New Roman"/>
        </w:rPr>
        <w:t xml:space="preserve"> </w:t>
      </w:r>
    </w:p>
    <w:p w14:paraId="29F8C60A" w14:textId="1C62F2B6" w:rsidR="00381E9B" w:rsidRPr="00FB1C88" w:rsidRDefault="00381E9B" w:rsidP="00F73148">
      <w:pPr>
        <w:jc w:val="center"/>
        <w:rPr>
          <w:rFonts w:ascii="Times New Roman" w:hAnsi="Times New Roman" w:cs="Times New Roman"/>
        </w:rPr>
      </w:pPr>
      <w:r>
        <w:rPr>
          <w:rFonts w:ascii="Times New Roman" w:hAnsi="Times New Roman" w:cs="Times New Roman"/>
        </w:rPr>
        <w:t>Advokatfullmektig</w:t>
      </w:r>
      <w:r w:rsidR="00F73148">
        <w:rPr>
          <w:rFonts w:ascii="Times New Roman" w:hAnsi="Times New Roman" w:cs="Times New Roman"/>
        </w:rPr>
        <w:t xml:space="preserve"> </w:t>
      </w:r>
      <w:r>
        <w:rPr>
          <w:rFonts w:ascii="Times New Roman" w:hAnsi="Times New Roman" w:cs="Times New Roman"/>
        </w:rPr>
        <w:t>Lars Hove Bjørnsen</w:t>
      </w: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67E2CB9F"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w:t>
      </w:r>
      <w:r w:rsidR="00033D3E">
        <w:rPr>
          <w:rFonts w:ascii="Times New Roman" w:hAnsi="Times New Roman" w:cs="Times New Roman"/>
          <w:sz w:val="20"/>
          <w:szCs w:val="20"/>
        </w:rPr>
        <w:t>Idun Øye</w:t>
      </w:r>
      <w:r w:rsidRPr="00FB1C88">
        <w:rPr>
          <w:rFonts w:ascii="Times New Roman" w:hAnsi="Times New Roman" w:cs="Times New Roman"/>
          <w:sz w:val="20"/>
          <w:szCs w:val="20"/>
        </w:rPr>
        <w:t>, fagansvarlig JUFO 20</w:t>
      </w:r>
      <w:r>
        <w:rPr>
          <w:rFonts w:ascii="Times New Roman" w:hAnsi="Times New Roman" w:cs="Times New Roman"/>
          <w:sz w:val="20"/>
          <w:szCs w:val="20"/>
        </w:rPr>
        <w:t>2</w:t>
      </w:r>
      <w:r w:rsidR="00033D3E">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522A522C" w14:textId="29600E41" w:rsidR="00033D3E" w:rsidRPr="00033D3E" w:rsidRDefault="00093264" w:rsidP="00033D3E">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t>Oppgavetekst</w:t>
      </w:r>
      <w:r w:rsidR="00033D3E">
        <w:rPr>
          <w:rFonts w:ascii="Times New Roman" w:hAnsi="Times New Roman" w:cs="Times New Roman"/>
          <w:color w:val="A6A6A6" w:themeColor="background1" w:themeShade="A6"/>
        </w:rPr>
        <w:t>:</w:t>
      </w:r>
    </w:p>
    <w:p w14:paraId="54FD0C5C" w14:textId="650F8FDB" w:rsidR="00760742" w:rsidRDefault="00033D3E">
      <w:pPr>
        <w:rPr>
          <w:rFonts w:ascii="Times New Roman" w:hAnsi="Times New Roman" w:cs="Times New Roman"/>
          <w:color w:val="A6A6A6" w:themeColor="background1" w:themeShade="A6"/>
        </w:rPr>
      </w:pPr>
      <w:r w:rsidRPr="00033D3E">
        <w:rPr>
          <w:rFonts w:ascii="Times New Roman" w:hAnsi="Times New Roman" w:cs="Times New Roman"/>
          <w:color w:val="A6A6A6" w:themeColor="background1" w:themeShade="A6"/>
        </w:rPr>
        <w:t xml:space="preserve">Redegjør for forskjellen mellom de lovfestede fullmakter i lov 31. mai 1918 nr. 4 om avslutning av avtaler, om </w:t>
      </w:r>
      <w:proofErr w:type="spellStart"/>
      <w:r w:rsidRPr="00033D3E">
        <w:rPr>
          <w:rFonts w:ascii="Times New Roman" w:hAnsi="Times New Roman" w:cs="Times New Roman"/>
          <w:color w:val="A6A6A6" w:themeColor="background1" w:themeShade="A6"/>
        </w:rPr>
        <w:t>fuldmagt</w:t>
      </w:r>
      <w:proofErr w:type="spellEnd"/>
      <w:r w:rsidRPr="00033D3E">
        <w:rPr>
          <w:rFonts w:ascii="Times New Roman" w:hAnsi="Times New Roman" w:cs="Times New Roman"/>
          <w:color w:val="A6A6A6" w:themeColor="background1" w:themeShade="A6"/>
        </w:rPr>
        <w:t xml:space="preserve"> og om ugyldige viljeserklæringer (avtaleloven).</w:t>
      </w:r>
    </w:p>
    <w:p w14:paraId="210E9FE6" w14:textId="4918FE24" w:rsidR="00033D3E" w:rsidRDefault="00033D3E">
      <w:pPr>
        <w:rPr>
          <w:rFonts w:ascii="Times New Roman" w:hAnsi="Times New Roman" w:cs="Times New Roman"/>
          <w:color w:val="A6A6A6" w:themeColor="background1" w:themeShade="A6"/>
        </w:rPr>
      </w:pPr>
    </w:p>
    <w:p w14:paraId="3B3B54EE" w14:textId="77777777" w:rsidR="00033D3E" w:rsidRPr="00033D3E" w:rsidRDefault="00033D3E" w:rsidP="00033D3E">
      <w:pPr>
        <w:pStyle w:val="NormalWeb"/>
        <w:spacing w:line="360" w:lineRule="auto"/>
      </w:pPr>
      <w:r w:rsidRPr="00033D3E">
        <w:rPr>
          <w:color w:val="2D5193"/>
        </w:rPr>
        <w:t xml:space="preserve">Oppgave 1 </w:t>
      </w:r>
    </w:p>
    <w:p w14:paraId="6E360E24" w14:textId="77777777" w:rsidR="00033D3E" w:rsidRPr="00033D3E" w:rsidRDefault="00033D3E" w:rsidP="00033D3E">
      <w:pPr>
        <w:pStyle w:val="NormalWeb"/>
        <w:spacing w:line="360" w:lineRule="auto"/>
      </w:pPr>
      <w:r w:rsidRPr="00033D3E">
        <w:rPr>
          <w:color w:val="2D5193"/>
        </w:rPr>
        <w:t xml:space="preserve">1. Innledning </w:t>
      </w:r>
    </w:p>
    <w:p w14:paraId="2AC9798F" w14:textId="77777777" w:rsidR="00033D3E" w:rsidRPr="00033D3E" w:rsidRDefault="00033D3E" w:rsidP="00033D3E">
      <w:pPr>
        <w:pStyle w:val="NormalWeb"/>
        <w:spacing w:line="360" w:lineRule="auto"/>
      </w:pPr>
      <w:commentRangeStart w:id="0"/>
      <w:r w:rsidRPr="00033D3E">
        <w:t xml:space="preserve">Det rettslige utgangspunktet i den norske avtaleretten er at man kun kan foreta disposisjoner som binder en selv. Selv om det rettslige utgangspunktet i avtaleretten er at man kun kan binde en selv, har lovgiver </w:t>
      </w:r>
      <w:proofErr w:type="spellStart"/>
      <w:r w:rsidRPr="00033D3E">
        <w:t>åpnet</w:t>
      </w:r>
      <w:proofErr w:type="spellEnd"/>
      <w:r w:rsidRPr="00033D3E">
        <w:t xml:space="preserve"> for at man kan binde andre gjennom fullmakt. </w:t>
      </w:r>
    </w:p>
    <w:p w14:paraId="0E492DCE" w14:textId="77777777" w:rsidR="00033D3E" w:rsidRPr="00033D3E" w:rsidRDefault="00033D3E" w:rsidP="00033D3E">
      <w:pPr>
        <w:pStyle w:val="NormalWeb"/>
        <w:spacing w:line="360" w:lineRule="auto"/>
      </w:pPr>
      <w:r w:rsidRPr="00033D3E">
        <w:t xml:space="preserve">Reglene for fullmakt finner vi i avtalelovens andre kapittel. Loven oppstiller her tre ulike former for fullmakt som kan bli brukt til å inngå avtaler </w:t>
      </w:r>
      <w:proofErr w:type="spellStart"/>
      <w:r w:rsidRPr="00033D3E">
        <w:t>pa</w:t>
      </w:r>
      <w:proofErr w:type="spellEnd"/>
      <w:r w:rsidRPr="00033D3E">
        <w:t xml:space="preserve">̊ vegne av andre. Disse tre ulike typene er stillingsfullmakt (§ 10 andre ledd), frasagnsfullmakt (§) og oppdragsfullmakt (§ 18). </w:t>
      </w:r>
    </w:p>
    <w:p w14:paraId="286EFCEC" w14:textId="77777777" w:rsidR="00033D3E" w:rsidRPr="00033D3E" w:rsidRDefault="00033D3E" w:rsidP="00033D3E">
      <w:pPr>
        <w:pStyle w:val="NormalWeb"/>
        <w:spacing w:line="360" w:lineRule="auto"/>
      </w:pPr>
      <w:r w:rsidRPr="00033D3E">
        <w:t xml:space="preserve">I denne teksten vil jeg gå nærmere inn </w:t>
      </w:r>
      <w:proofErr w:type="spellStart"/>
      <w:r w:rsidRPr="00033D3E">
        <w:t>pa</w:t>
      </w:r>
      <w:proofErr w:type="spellEnd"/>
      <w:r w:rsidRPr="00033D3E">
        <w:t xml:space="preserve">̊ de ulike formene for fullmakt i avtaleloven. Videre vil jeg </w:t>
      </w:r>
      <w:proofErr w:type="spellStart"/>
      <w:r w:rsidRPr="00033D3E">
        <w:t>ogsa</w:t>
      </w:r>
      <w:proofErr w:type="spellEnd"/>
      <w:r w:rsidRPr="00033D3E">
        <w:t xml:space="preserve">̊ redegjør for noen sentrale forskjeller mellom de ulike typene fullmakter. Oppgaven avgrenses mot de ulovfestete reglene for fullmakt som er utviklet gjennom rettspraksis. </w:t>
      </w:r>
      <w:commentRangeEnd w:id="0"/>
      <w:r w:rsidR="00381E9B">
        <w:rPr>
          <w:rStyle w:val="Merknadsreferanse"/>
          <w:rFonts w:asciiTheme="minorHAnsi" w:eastAsiaTheme="minorHAnsi" w:hAnsiTheme="minorHAnsi" w:cstheme="minorBidi"/>
          <w:lang w:eastAsia="en-US"/>
        </w:rPr>
        <w:commentReference w:id="0"/>
      </w:r>
    </w:p>
    <w:p w14:paraId="44E9AF58" w14:textId="77777777" w:rsidR="00033D3E" w:rsidRPr="00033D3E" w:rsidRDefault="00033D3E" w:rsidP="00033D3E">
      <w:pPr>
        <w:pStyle w:val="NormalWeb"/>
        <w:spacing w:line="360" w:lineRule="auto"/>
      </w:pPr>
      <w:r w:rsidRPr="00033D3E">
        <w:rPr>
          <w:color w:val="2D5193"/>
        </w:rPr>
        <w:t xml:space="preserve">2.1 Definisjoner </w:t>
      </w:r>
    </w:p>
    <w:p w14:paraId="53F892FE" w14:textId="77777777" w:rsidR="00033D3E" w:rsidRPr="00033D3E" w:rsidRDefault="00033D3E" w:rsidP="00033D3E">
      <w:pPr>
        <w:pStyle w:val="NormalWeb"/>
        <w:spacing w:line="360" w:lineRule="auto"/>
      </w:pPr>
      <w:commentRangeStart w:id="1"/>
      <w:r w:rsidRPr="00033D3E">
        <w:rPr>
          <w:color w:val="1E3560"/>
        </w:rPr>
        <w:t xml:space="preserve">2.1.1 fullmakt </w:t>
      </w:r>
      <w:proofErr w:type="spellStart"/>
      <w:r w:rsidRPr="00033D3E">
        <w:rPr>
          <w:color w:val="1E3560"/>
        </w:rPr>
        <w:t>generellt</w:t>
      </w:r>
      <w:proofErr w:type="spellEnd"/>
      <w:r w:rsidRPr="00033D3E">
        <w:rPr>
          <w:color w:val="1E3560"/>
        </w:rPr>
        <w:t xml:space="preserve"> </w:t>
      </w:r>
    </w:p>
    <w:p w14:paraId="022BF3D1" w14:textId="77777777" w:rsidR="00033D3E" w:rsidRPr="00033D3E" w:rsidRDefault="00033D3E" w:rsidP="00033D3E">
      <w:pPr>
        <w:pStyle w:val="NormalWeb"/>
        <w:spacing w:line="360" w:lineRule="auto"/>
      </w:pPr>
      <w:r w:rsidRPr="00033D3E">
        <w:t xml:space="preserve">Før </w:t>
      </w:r>
      <w:commentRangeStart w:id="2"/>
      <w:r w:rsidRPr="00033D3E">
        <w:t xml:space="preserve">vi </w:t>
      </w:r>
      <w:commentRangeEnd w:id="2"/>
      <w:r w:rsidR="00291C85">
        <w:rPr>
          <w:rStyle w:val="Merknadsreferanse"/>
          <w:rFonts w:asciiTheme="minorHAnsi" w:eastAsiaTheme="minorHAnsi" w:hAnsiTheme="minorHAnsi" w:cstheme="minorBidi"/>
          <w:lang w:eastAsia="en-US"/>
        </w:rPr>
        <w:commentReference w:id="2"/>
      </w:r>
      <w:proofErr w:type="spellStart"/>
      <w:r w:rsidRPr="00033D3E">
        <w:t>går</w:t>
      </w:r>
      <w:proofErr w:type="spellEnd"/>
      <w:r w:rsidRPr="00033D3E">
        <w:t xml:space="preserve"> nærmere inn </w:t>
      </w:r>
      <w:proofErr w:type="spellStart"/>
      <w:r w:rsidRPr="00033D3E">
        <w:t>pa</w:t>
      </w:r>
      <w:proofErr w:type="spellEnd"/>
      <w:r w:rsidRPr="00033D3E">
        <w:t xml:space="preserve">̊ de ulike formene for fullmakt vi finner i avtaleloven er det viktig å fastlegge va en fullmakt er. </w:t>
      </w:r>
    </w:p>
    <w:p w14:paraId="6B354EB9" w14:textId="77777777" w:rsidR="00033D3E" w:rsidRPr="00033D3E" w:rsidRDefault="00033D3E" w:rsidP="00033D3E">
      <w:pPr>
        <w:pStyle w:val="NormalWeb"/>
        <w:spacing w:line="360" w:lineRule="auto"/>
      </w:pPr>
      <w:r w:rsidRPr="00033D3E">
        <w:t xml:space="preserve">Det følger av juridisk teori at en fullmakt er en «avtale om representasjonsevne». I dette legges det at en fullmaktsgiver (en </w:t>
      </w:r>
      <w:proofErr w:type="spellStart"/>
      <w:r w:rsidRPr="00033D3E">
        <w:t>prisnipal</w:t>
      </w:r>
      <w:proofErr w:type="spellEnd"/>
      <w:r w:rsidRPr="00033D3E">
        <w:t xml:space="preserve">) kan gi en myndighet til en fullmektig (representanten) til å inngå bindende avtaler </w:t>
      </w:r>
      <w:proofErr w:type="spellStart"/>
      <w:r w:rsidRPr="00033D3E">
        <w:t>pa</w:t>
      </w:r>
      <w:proofErr w:type="spellEnd"/>
      <w:r w:rsidRPr="00033D3E">
        <w:t xml:space="preserve">̊ vegne av seg selv. Representanten mottar dermed en rett til å representere den andre, og inngå avtaler i prinsipalens navn. </w:t>
      </w:r>
    </w:p>
    <w:p w14:paraId="7719F914" w14:textId="77777777" w:rsidR="00033D3E" w:rsidRPr="00033D3E" w:rsidRDefault="00033D3E" w:rsidP="00033D3E">
      <w:pPr>
        <w:pStyle w:val="NormalWeb"/>
        <w:spacing w:line="360" w:lineRule="auto"/>
      </w:pPr>
      <w:r w:rsidRPr="00033D3E">
        <w:t xml:space="preserve">Et fullmaktsforhold er et forhold mellom tre ulike personer. Forholdet omhandler prinsipalen som gir bort myndighet til representanten, som igjen handler ovenfor tredjepersonen. Det </w:t>
      </w:r>
      <w:proofErr w:type="spellStart"/>
      <w:r w:rsidRPr="00033D3E">
        <w:t>føløger</w:t>
      </w:r>
      <w:proofErr w:type="spellEnd"/>
      <w:r w:rsidRPr="00033D3E">
        <w:t xml:space="preserve"> av avtal. § 10 at om representanten handler innenfor gitte grenser stifter den umiddelbar rett og plikt for prinsipalen. I tale om avtaler hvor det er brukt fullmakt blir representanten ikke bundet om den handler innenfor grensen. Hva som er konsekvensen for om man bryter med denne grensen vil jeg komme nærme inn </w:t>
      </w:r>
      <w:proofErr w:type="spellStart"/>
      <w:r w:rsidRPr="00033D3E">
        <w:t>pa</w:t>
      </w:r>
      <w:proofErr w:type="spellEnd"/>
      <w:r w:rsidRPr="00033D3E">
        <w:t xml:space="preserve">̊ i punkt 2.3. </w:t>
      </w:r>
      <w:commentRangeEnd w:id="1"/>
      <w:r w:rsidR="009535D3">
        <w:rPr>
          <w:rStyle w:val="Merknadsreferanse"/>
          <w:rFonts w:asciiTheme="minorHAnsi" w:eastAsiaTheme="minorHAnsi" w:hAnsiTheme="minorHAnsi" w:cstheme="minorBidi"/>
          <w:lang w:eastAsia="en-US"/>
        </w:rPr>
        <w:commentReference w:id="1"/>
      </w:r>
    </w:p>
    <w:p w14:paraId="3A757E5C" w14:textId="77777777" w:rsidR="00033D3E" w:rsidRPr="00033D3E" w:rsidRDefault="00033D3E" w:rsidP="00033D3E">
      <w:pPr>
        <w:pStyle w:val="NormalWeb"/>
        <w:spacing w:line="360" w:lineRule="auto"/>
      </w:pPr>
      <w:r w:rsidRPr="00033D3E">
        <w:rPr>
          <w:color w:val="1E3560"/>
        </w:rPr>
        <w:t xml:space="preserve">2.1.2 Instruks </w:t>
      </w:r>
    </w:p>
    <w:p w14:paraId="487D6045" w14:textId="77777777" w:rsidR="00033D3E" w:rsidRPr="00033D3E" w:rsidRDefault="00033D3E" w:rsidP="00033D3E">
      <w:pPr>
        <w:pStyle w:val="NormalWeb"/>
        <w:spacing w:line="360" w:lineRule="auto"/>
      </w:pPr>
      <w:r w:rsidRPr="00033D3E">
        <w:t xml:space="preserve">I sammenheng med de lovfestete fullmaktene er det </w:t>
      </w:r>
      <w:proofErr w:type="spellStart"/>
      <w:r w:rsidRPr="00033D3E">
        <w:t>ogsa</w:t>
      </w:r>
      <w:proofErr w:type="spellEnd"/>
      <w:r w:rsidRPr="00033D3E">
        <w:t xml:space="preserve">̊ viktig å legge til grunn hva en instruks er. </w:t>
      </w:r>
      <w:commentRangeStart w:id="3"/>
      <w:r w:rsidRPr="00033D3E">
        <w:t>Etter avtaleloven er instrukser en «forskrift» som sier noe om hvilke disposisjoner representanten kan foreta seg</w:t>
      </w:r>
      <w:commentRangeEnd w:id="3"/>
      <w:r w:rsidR="00C933B6">
        <w:rPr>
          <w:rStyle w:val="Merknadsreferanse"/>
          <w:rFonts w:asciiTheme="minorHAnsi" w:eastAsiaTheme="minorHAnsi" w:hAnsiTheme="minorHAnsi" w:cstheme="minorBidi"/>
          <w:lang w:eastAsia="en-US"/>
        </w:rPr>
        <w:commentReference w:id="3"/>
      </w:r>
      <w:r w:rsidRPr="00033D3E">
        <w:t xml:space="preserve">. Instruksen blir meddelt internt mellom prinsipalen og representanten og blir ikke meddelt til tredjeperson. Eksempler </w:t>
      </w:r>
      <w:proofErr w:type="spellStart"/>
      <w:r w:rsidRPr="00033D3E">
        <w:t>pa</w:t>
      </w:r>
      <w:proofErr w:type="spellEnd"/>
      <w:r w:rsidRPr="00033D3E">
        <w:t xml:space="preserve">̊ forhold som instrukser kan gå </w:t>
      </w:r>
      <w:proofErr w:type="spellStart"/>
      <w:r w:rsidRPr="00033D3E">
        <w:t>pa</w:t>
      </w:r>
      <w:proofErr w:type="spellEnd"/>
      <w:r w:rsidRPr="00033D3E">
        <w:t xml:space="preserve">̊ er pris, betalingstid, overtakelsestidspunkt og realytelse. </w:t>
      </w:r>
    </w:p>
    <w:p w14:paraId="0CE31089" w14:textId="77777777" w:rsidR="00033D3E" w:rsidRPr="00033D3E" w:rsidRDefault="00033D3E" w:rsidP="00033D3E">
      <w:pPr>
        <w:pStyle w:val="NormalWeb"/>
        <w:spacing w:line="360" w:lineRule="auto"/>
      </w:pPr>
      <w:r w:rsidRPr="00033D3E">
        <w:rPr>
          <w:color w:val="1E3560"/>
        </w:rPr>
        <w:t xml:space="preserve">2.1.3 Selvstendig og uselvstendig fullmakter </w:t>
      </w:r>
    </w:p>
    <w:p w14:paraId="7DFE0699" w14:textId="77777777" w:rsidR="00033D3E" w:rsidRPr="00033D3E" w:rsidRDefault="00033D3E" w:rsidP="00033D3E">
      <w:pPr>
        <w:pStyle w:val="NormalWeb"/>
        <w:spacing w:line="360" w:lineRule="auto"/>
      </w:pPr>
      <w:r w:rsidRPr="00033D3E">
        <w:t xml:space="preserve">Som nevnt over oppstiller loven tre ulike former for fullmakter. Disse er igjen delt opp i to undergrupper. Disse undergruppene er kalles selvstendige fullmakter og uselvstendige fullmakter. </w:t>
      </w:r>
    </w:p>
    <w:p w14:paraId="2B2CBD0B" w14:textId="77777777" w:rsidR="00033D3E" w:rsidRPr="00033D3E" w:rsidRDefault="00033D3E" w:rsidP="00033D3E">
      <w:pPr>
        <w:pStyle w:val="NormalWeb"/>
        <w:spacing w:line="360" w:lineRule="auto"/>
      </w:pPr>
      <w:commentRangeStart w:id="4"/>
      <w:r w:rsidRPr="00033D3E">
        <w:t xml:space="preserve">En selvstendig fullmakt er en fullmakt som er synlig ovenfor tredjeparten. Den er dermed synlig for andre enn prinsipalen og representanten. Eksempler her er stillings- og frasagnsfullmakter. </w:t>
      </w:r>
    </w:p>
    <w:p w14:paraId="6E5D1966" w14:textId="77777777" w:rsidR="00033D3E" w:rsidRPr="00033D3E" w:rsidRDefault="00033D3E" w:rsidP="00033D3E">
      <w:pPr>
        <w:pStyle w:val="NormalWeb"/>
        <w:spacing w:line="360" w:lineRule="auto"/>
      </w:pPr>
      <w:r w:rsidRPr="00033D3E">
        <w:t xml:space="preserve">Videre er en </w:t>
      </w:r>
      <w:proofErr w:type="spellStart"/>
      <w:r w:rsidRPr="00033D3E">
        <w:t>uselvstednigfullamkt</w:t>
      </w:r>
      <w:proofErr w:type="spellEnd"/>
      <w:r w:rsidRPr="00033D3E">
        <w:t xml:space="preserve"> en fullmakt som ikke er synlig ovenfor tredjeparten. Dette kommer frem gjennom at det er kun prinsipalen og representanten som vet om den. Tredjemann har ved en uselvstendig fullmakt kun representantens ord å forholde seg til. Eksempler </w:t>
      </w:r>
      <w:proofErr w:type="spellStart"/>
      <w:r w:rsidRPr="00033D3E">
        <w:t>pa</w:t>
      </w:r>
      <w:proofErr w:type="spellEnd"/>
      <w:r w:rsidRPr="00033D3E">
        <w:t xml:space="preserve">̊ uselvstendige fullmakter er oppdragsfullmakt. </w:t>
      </w:r>
      <w:commentRangeEnd w:id="4"/>
      <w:r w:rsidR="00C933B6">
        <w:rPr>
          <w:rStyle w:val="Merknadsreferanse"/>
          <w:rFonts w:asciiTheme="minorHAnsi" w:eastAsiaTheme="minorHAnsi" w:hAnsiTheme="minorHAnsi" w:cstheme="minorBidi"/>
          <w:lang w:eastAsia="en-US"/>
        </w:rPr>
        <w:commentReference w:id="4"/>
      </w:r>
    </w:p>
    <w:p w14:paraId="04A4460F" w14:textId="77777777" w:rsidR="00033D3E" w:rsidRPr="00033D3E" w:rsidRDefault="00033D3E" w:rsidP="00033D3E">
      <w:pPr>
        <w:pStyle w:val="NormalWeb"/>
        <w:spacing w:line="360" w:lineRule="auto"/>
      </w:pPr>
      <w:r w:rsidRPr="00033D3E">
        <w:rPr>
          <w:color w:val="2D5193"/>
        </w:rPr>
        <w:t xml:space="preserve">2.2 De ulike formene for lovfestet fullmakt </w:t>
      </w:r>
    </w:p>
    <w:p w14:paraId="2D20656C" w14:textId="77777777" w:rsidR="00033D3E" w:rsidRPr="00033D3E" w:rsidRDefault="00033D3E" w:rsidP="00033D3E">
      <w:pPr>
        <w:pStyle w:val="NormalWeb"/>
        <w:spacing w:line="360" w:lineRule="auto"/>
      </w:pPr>
      <w:commentRangeStart w:id="5"/>
      <w:r w:rsidRPr="00033D3E">
        <w:t>Stillingsfullmakt</w:t>
      </w:r>
      <w:r w:rsidRPr="00033D3E">
        <w:br/>
      </w:r>
      <w:commentRangeEnd w:id="5"/>
      <w:r w:rsidR="00C933B6">
        <w:rPr>
          <w:rStyle w:val="Merknadsreferanse"/>
          <w:rFonts w:asciiTheme="minorHAnsi" w:eastAsiaTheme="minorHAnsi" w:hAnsiTheme="minorHAnsi" w:cstheme="minorBidi"/>
          <w:lang w:eastAsia="en-US"/>
        </w:rPr>
        <w:commentReference w:id="5"/>
      </w:r>
      <w:r w:rsidRPr="00033D3E">
        <w:t xml:space="preserve">Den første formen for lovfestet fullmakt i avtalelovens andre kapittel er stillingsfullmakten. En stillingsfullmakt er etter avtl. § 10 andre ledd en fullmakt som en representant har </w:t>
      </w:r>
      <w:proofErr w:type="spellStart"/>
      <w:r w:rsidRPr="00033D3E">
        <w:t>fått</w:t>
      </w:r>
      <w:proofErr w:type="spellEnd"/>
      <w:r w:rsidRPr="00033D3E">
        <w:t xml:space="preserve"> </w:t>
      </w:r>
      <w:proofErr w:type="spellStart"/>
      <w:r w:rsidRPr="00033D3E">
        <w:t>pa</w:t>
      </w:r>
      <w:proofErr w:type="spellEnd"/>
      <w:r w:rsidRPr="00033D3E">
        <w:t xml:space="preserve">̊ bakgrunn av at den er </w:t>
      </w:r>
      <w:proofErr w:type="spellStart"/>
      <w:r w:rsidRPr="00033D3E">
        <w:t>trådt</w:t>
      </w:r>
      <w:proofErr w:type="spellEnd"/>
      <w:r w:rsidRPr="00033D3E">
        <w:t xml:space="preserve"> inn i en stilling som etter «lov» eller «sedvane» gir han myndighet til å inngå avtaler «</w:t>
      </w:r>
      <w:proofErr w:type="spellStart"/>
      <w:r w:rsidRPr="00033D3E">
        <w:t>indenfor</w:t>
      </w:r>
      <w:proofErr w:type="spellEnd"/>
      <w:r w:rsidRPr="00033D3E">
        <w:t xml:space="preserve"> visse </w:t>
      </w:r>
      <w:proofErr w:type="spellStart"/>
      <w:r w:rsidRPr="00033D3E">
        <w:t>grænser</w:t>
      </w:r>
      <w:proofErr w:type="spellEnd"/>
      <w:r w:rsidRPr="00033D3E">
        <w:t xml:space="preserve">» </w:t>
      </w:r>
      <w:proofErr w:type="spellStart"/>
      <w:r w:rsidRPr="00033D3E">
        <w:t>pa</w:t>
      </w:r>
      <w:proofErr w:type="spellEnd"/>
      <w:r w:rsidRPr="00033D3E">
        <w:t xml:space="preserve">̊ vegne av prinsipalen. </w:t>
      </w:r>
    </w:p>
    <w:p w14:paraId="4EDFAE02" w14:textId="77777777" w:rsidR="00033D3E" w:rsidRPr="00033D3E" w:rsidRDefault="00033D3E" w:rsidP="00033D3E">
      <w:pPr>
        <w:pStyle w:val="NormalWeb"/>
        <w:spacing w:line="360" w:lineRule="auto"/>
      </w:pPr>
      <w:r w:rsidRPr="00033D3E">
        <w:t xml:space="preserve">Etter § 10 andre ledd kan man </w:t>
      </w:r>
      <w:proofErr w:type="spellStart"/>
      <w:r w:rsidRPr="00033D3E">
        <w:t>altsa</w:t>
      </w:r>
      <w:proofErr w:type="spellEnd"/>
      <w:r w:rsidRPr="00033D3E">
        <w:t>̊ få en stillingsfullmakt om man er plassert i en stilling (f.eks. en jobb) som enten etter annen lovgivning eller sedvane gir den adgang til å foreta «</w:t>
      </w:r>
      <w:proofErr w:type="spellStart"/>
      <w:r w:rsidRPr="00033D3E">
        <w:t>retshandel</w:t>
      </w:r>
      <w:proofErr w:type="spellEnd"/>
      <w:r w:rsidRPr="00033D3E">
        <w:t xml:space="preserve">» i form av rettslig bindende disposisjoner. Med sedvane menes her en langvarig og godkjent praksis. </w:t>
      </w:r>
    </w:p>
    <w:p w14:paraId="76237165" w14:textId="77777777" w:rsidR="00033D3E" w:rsidRPr="00033D3E" w:rsidRDefault="00033D3E" w:rsidP="00033D3E">
      <w:pPr>
        <w:pStyle w:val="NormalWeb"/>
        <w:spacing w:line="360" w:lineRule="auto"/>
      </w:pPr>
      <w:r w:rsidRPr="00033D3E">
        <w:t xml:space="preserve">Et eksempel </w:t>
      </w:r>
      <w:proofErr w:type="spellStart"/>
      <w:r w:rsidRPr="00033D3E">
        <w:t>pa</w:t>
      </w:r>
      <w:proofErr w:type="spellEnd"/>
      <w:r w:rsidRPr="00033D3E">
        <w:t xml:space="preserve">̊ dette vil være en ekspeditør i en butikk som etter sedvane gir personen rett til å foreta avtaler om kjøp. Et eksempel </w:t>
      </w:r>
      <w:proofErr w:type="spellStart"/>
      <w:r w:rsidRPr="00033D3E">
        <w:t>pa</w:t>
      </w:r>
      <w:proofErr w:type="spellEnd"/>
      <w:r w:rsidRPr="00033D3E">
        <w:t xml:space="preserve">̊ en stillingsfullmakt som følger av lov, er en daglig leders rettigheter etter aksjeloven. </w:t>
      </w:r>
    </w:p>
    <w:p w14:paraId="48C21465" w14:textId="77777777" w:rsidR="00033D3E" w:rsidRPr="00033D3E" w:rsidRDefault="00033D3E" w:rsidP="00033D3E">
      <w:pPr>
        <w:pStyle w:val="NormalWeb"/>
        <w:spacing w:line="360" w:lineRule="auto"/>
      </w:pPr>
      <w:r w:rsidRPr="00033D3E">
        <w:t>Frasagnsfullmakt</w:t>
      </w:r>
      <w:r w:rsidRPr="00033D3E">
        <w:br/>
        <w:t xml:space="preserve">En annen form for selvstendig fullmakt er frasagnsfullmakten. En frasagnsfullmakt innebærer at tredjepersonen har </w:t>
      </w:r>
      <w:proofErr w:type="spellStart"/>
      <w:r w:rsidRPr="00033D3E">
        <w:t>fått</w:t>
      </w:r>
      <w:proofErr w:type="spellEnd"/>
      <w:r w:rsidRPr="00033D3E">
        <w:t xml:space="preserve"> beskjed om at representanten kan handle </w:t>
      </w:r>
      <w:proofErr w:type="spellStart"/>
      <w:r w:rsidRPr="00033D3E">
        <w:t>pa</w:t>
      </w:r>
      <w:proofErr w:type="spellEnd"/>
      <w:r w:rsidRPr="00033D3E">
        <w:t xml:space="preserve">̊ vegne av prinsipalen. </w:t>
      </w:r>
    </w:p>
    <w:p w14:paraId="58954553" w14:textId="77777777" w:rsidR="00033D3E" w:rsidRPr="00033D3E" w:rsidRDefault="00033D3E" w:rsidP="00033D3E">
      <w:pPr>
        <w:pStyle w:val="NormalWeb"/>
        <w:spacing w:line="360" w:lineRule="auto"/>
      </w:pPr>
      <w:r w:rsidRPr="00033D3E">
        <w:t xml:space="preserve">Den rettslige plasseringen til frasagnsfullmakter finner vi i avtl. §§ 13-16. Her kommer det frem ulike grunnlag som gir representanten rett til å inngå avtaler </w:t>
      </w:r>
      <w:proofErr w:type="spellStart"/>
      <w:r w:rsidRPr="00033D3E">
        <w:t>pa</w:t>
      </w:r>
      <w:proofErr w:type="spellEnd"/>
      <w:r w:rsidRPr="00033D3E">
        <w:t xml:space="preserve">̊ vegne av representanten. </w:t>
      </w:r>
    </w:p>
    <w:p w14:paraId="71916ACC" w14:textId="77777777" w:rsidR="00033D3E" w:rsidRPr="00033D3E" w:rsidRDefault="00033D3E" w:rsidP="00033D3E">
      <w:pPr>
        <w:pStyle w:val="NormalWeb"/>
        <w:spacing w:line="360" w:lineRule="auto"/>
      </w:pPr>
      <w:r w:rsidRPr="00033D3E">
        <w:t xml:space="preserve">Det viktigste kjennetegnet </w:t>
      </w:r>
      <w:proofErr w:type="spellStart"/>
      <w:r w:rsidRPr="00033D3E">
        <w:t>pa</w:t>
      </w:r>
      <w:proofErr w:type="spellEnd"/>
      <w:r w:rsidRPr="00033D3E">
        <w:t xml:space="preserve">̊ en frasagnsfullmakt er at fullmakten har som </w:t>
      </w:r>
      <w:proofErr w:type="spellStart"/>
      <w:r w:rsidRPr="00033D3E">
        <w:t>formål</w:t>
      </w:r>
      <w:proofErr w:type="spellEnd"/>
      <w:r w:rsidRPr="00033D3E">
        <w:t xml:space="preserve"> å bli vist til medkontrahenten. Det er derfor en synlig fullmakt. Dette gjelder </w:t>
      </w:r>
      <w:proofErr w:type="spellStart"/>
      <w:r w:rsidRPr="00033D3E">
        <w:t>ogsa</w:t>
      </w:r>
      <w:proofErr w:type="spellEnd"/>
      <w:r w:rsidRPr="00033D3E">
        <w:t xml:space="preserve">̊ selv om den ikke blir vist, men at det var hensikt fra prinsipalen at den skulle det. </w:t>
      </w:r>
    </w:p>
    <w:p w14:paraId="72BB18A8" w14:textId="77777777" w:rsidR="00033D3E" w:rsidRPr="00033D3E" w:rsidRDefault="00033D3E" w:rsidP="00033D3E">
      <w:pPr>
        <w:pStyle w:val="NormalWeb"/>
        <w:spacing w:line="360" w:lineRule="auto"/>
      </w:pPr>
      <w:r w:rsidRPr="00033D3E">
        <w:t>Oppdragsfullmakt</w:t>
      </w:r>
      <w:r w:rsidRPr="00033D3E">
        <w:br/>
        <w:t xml:space="preserve">Den siste formen for lovfestet fullmakt er en uselvstendig fullmakt som finnes i avtl. § 18. oppdragsfullmakten kjennetegnes ved at den kun visses mellom prinsipal og representant. Den kan gis </w:t>
      </w:r>
      <w:proofErr w:type="spellStart"/>
      <w:r w:rsidRPr="00033D3E">
        <w:t>både</w:t>
      </w:r>
      <w:proofErr w:type="spellEnd"/>
      <w:r w:rsidRPr="00033D3E">
        <w:t xml:space="preserve"> muntlig og skriftlig. Tredjeperson har kun representantens ord å legge sin troverdighet i.</w:t>
      </w:r>
      <w:commentRangeStart w:id="6"/>
      <w:r w:rsidRPr="00033D3E">
        <w:t xml:space="preserve"> </w:t>
      </w:r>
      <w:commentRangeEnd w:id="6"/>
      <w:r w:rsidR="00AC0A1E">
        <w:rPr>
          <w:rStyle w:val="Merknadsreferanse"/>
          <w:rFonts w:asciiTheme="minorHAnsi" w:eastAsiaTheme="minorHAnsi" w:hAnsiTheme="minorHAnsi" w:cstheme="minorBidi"/>
          <w:lang w:eastAsia="en-US"/>
        </w:rPr>
        <w:commentReference w:id="6"/>
      </w:r>
    </w:p>
    <w:p w14:paraId="67BF05FD" w14:textId="77777777" w:rsidR="00033D3E" w:rsidRPr="00033D3E" w:rsidRDefault="00033D3E" w:rsidP="00033D3E">
      <w:pPr>
        <w:pStyle w:val="NormalWeb"/>
        <w:spacing w:line="360" w:lineRule="auto"/>
      </w:pPr>
      <w:r w:rsidRPr="00033D3E">
        <w:rPr>
          <w:color w:val="2D5193"/>
        </w:rPr>
        <w:t xml:space="preserve">2.3 Forskjellene ved de lovfestete fullmaktene </w:t>
      </w:r>
    </w:p>
    <w:p w14:paraId="26559BCB" w14:textId="77777777" w:rsidR="00033D3E" w:rsidRPr="00033D3E" w:rsidRDefault="00033D3E" w:rsidP="00033D3E">
      <w:pPr>
        <w:pStyle w:val="NormalWeb"/>
        <w:spacing w:line="360" w:lineRule="auto"/>
      </w:pPr>
      <w:r w:rsidRPr="00033D3E">
        <w:rPr>
          <w:color w:val="1E3560"/>
        </w:rPr>
        <w:t xml:space="preserve">Selvstendig vs. Uselvstendig </w:t>
      </w:r>
    </w:p>
    <w:p w14:paraId="3D468F44" w14:textId="77777777" w:rsidR="00033D3E" w:rsidRPr="00033D3E" w:rsidRDefault="00033D3E" w:rsidP="00033D3E">
      <w:pPr>
        <w:pStyle w:val="NormalWeb"/>
        <w:spacing w:line="360" w:lineRule="auto"/>
      </w:pPr>
      <w:commentRangeStart w:id="7"/>
      <w:r w:rsidRPr="00033D3E">
        <w:t xml:space="preserve">Den første forskjellen </w:t>
      </w:r>
      <w:commentRangeEnd w:id="7"/>
      <w:r w:rsidR="00426170">
        <w:rPr>
          <w:rStyle w:val="Merknadsreferanse"/>
          <w:rFonts w:asciiTheme="minorHAnsi" w:eastAsiaTheme="minorHAnsi" w:hAnsiTheme="minorHAnsi" w:cstheme="minorBidi"/>
          <w:lang w:eastAsia="en-US"/>
        </w:rPr>
        <w:commentReference w:id="7"/>
      </w:r>
      <w:r w:rsidRPr="00033D3E">
        <w:t xml:space="preserve">mellom de tre formene for fullmakter er at stillingsfullmakten og frasagnsfullmakten er en </w:t>
      </w:r>
      <w:proofErr w:type="spellStart"/>
      <w:r w:rsidRPr="00033D3E">
        <w:t>selvstednig</w:t>
      </w:r>
      <w:proofErr w:type="spellEnd"/>
      <w:r w:rsidRPr="00033D3E">
        <w:t xml:space="preserve"> fullmakt og dermed synlig ovenfor tredjeperson. Dette er i motsetning til oppdragsfullmakten som kun er medelt gjennom prinsipalen og representanten. </w:t>
      </w:r>
    </w:p>
    <w:p w14:paraId="56F2F958" w14:textId="77777777" w:rsidR="00033D3E" w:rsidRPr="00033D3E" w:rsidRDefault="00033D3E" w:rsidP="00033D3E">
      <w:pPr>
        <w:pStyle w:val="NormalWeb"/>
        <w:spacing w:line="360" w:lineRule="auto"/>
      </w:pPr>
      <w:r w:rsidRPr="00033D3E">
        <w:rPr>
          <w:color w:val="1E3560"/>
        </w:rPr>
        <w:t xml:space="preserve">Stiftelsesgrunnlag </w:t>
      </w:r>
    </w:p>
    <w:p w14:paraId="42549669" w14:textId="77777777" w:rsidR="00033D3E" w:rsidRPr="00033D3E" w:rsidRDefault="00033D3E" w:rsidP="00033D3E">
      <w:pPr>
        <w:pStyle w:val="NormalWeb"/>
        <w:spacing w:line="360" w:lineRule="auto"/>
      </w:pPr>
      <w:r w:rsidRPr="00033D3E">
        <w:t xml:space="preserve">Den neste forskjellen mellom fullmaktene er hvordan de blir stiftet. I henhold til en stillingsfullmakt blir man uttrykkelig plassert i en stilling. Etter frasagnsfullmakt </w:t>
      </w:r>
      <w:proofErr w:type="spellStart"/>
      <w:r w:rsidRPr="00033D3E">
        <w:t>ma</w:t>
      </w:r>
      <w:proofErr w:type="spellEnd"/>
      <w:r w:rsidRPr="00033D3E">
        <w:t xml:space="preserve">̊ det være </w:t>
      </w:r>
      <w:commentRangeStart w:id="8"/>
      <w:r w:rsidRPr="00033D3E">
        <w:t>utrykt etter §§ 13-16</w:t>
      </w:r>
      <w:commentRangeEnd w:id="8"/>
      <w:r w:rsidR="00426170">
        <w:rPr>
          <w:rStyle w:val="Merknadsreferanse"/>
          <w:rFonts w:asciiTheme="minorHAnsi" w:eastAsiaTheme="minorHAnsi" w:hAnsiTheme="minorHAnsi" w:cstheme="minorBidi"/>
          <w:lang w:eastAsia="en-US"/>
        </w:rPr>
        <w:commentReference w:id="8"/>
      </w:r>
      <w:r w:rsidRPr="00033D3E">
        <w:t xml:space="preserve">. dette </w:t>
      </w:r>
      <w:proofErr w:type="spellStart"/>
      <w:r w:rsidRPr="00033D3E">
        <w:t>står</w:t>
      </w:r>
      <w:proofErr w:type="spellEnd"/>
      <w:r w:rsidRPr="00033D3E">
        <w:t xml:space="preserve"> i motsetning til oppdragsfullmakten som kun trenger å være meddelt til representanten. Her kreves det heller ikke at man </w:t>
      </w:r>
      <w:proofErr w:type="spellStart"/>
      <w:r w:rsidRPr="00033D3E">
        <w:t>inngår</w:t>
      </w:r>
      <w:proofErr w:type="spellEnd"/>
      <w:r w:rsidRPr="00033D3E">
        <w:t xml:space="preserve"> det </w:t>
      </w:r>
      <w:proofErr w:type="spellStart"/>
      <w:r w:rsidRPr="00033D3E">
        <w:t>skriflig</w:t>
      </w:r>
      <w:proofErr w:type="spellEnd"/>
      <w:r w:rsidRPr="00033D3E">
        <w:t xml:space="preserve">. </w:t>
      </w:r>
    </w:p>
    <w:p w14:paraId="421B1422" w14:textId="77777777" w:rsidR="00033D3E" w:rsidRPr="00033D3E" w:rsidRDefault="00033D3E" w:rsidP="00033D3E">
      <w:pPr>
        <w:pStyle w:val="NormalWeb"/>
        <w:spacing w:line="360" w:lineRule="auto"/>
      </w:pPr>
      <w:r w:rsidRPr="00033D3E">
        <w:rPr>
          <w:color w:val="1E3560"/>
        </w:rPr>
        <w:t xml:space="preserve">Opphør/tilbakekallelse </w:t>
      </w:r>
    </w:p>
    <w:p w14:paraId="23E03BF6" w14:textId="77777777" w:rsidR="00033D3E" w:rsidRPr="00033D3E" w:rsidRDefault="00033D3E" w:rsidP="00033D3E">
      <w:pPr>
        <w:pStyle w:val="NormalWeb"/>
        <w:spacing w:line="360" w:lineRule="auto"/>
      </w:pPr>
      <w:r w:rsidRPr="00033D3E">
        <w:t xml:space="preserve">Den tredje forskjellen jeg ønsker å ta opp med syn </w:t>
      </w:r>
      <w:proofErr w:type="spellStart"/>
      <w:r w:rsidRPr="00033D3E">
        <w:t>pa</w:t>
      </w:r>
      <w:proofErr w:type="spellEnd"/>
      <w:r w:rsidRPr="00033D3E">
        <w:t xml:space="preserve">̊ de tre lovfestede fullmaktene er hva som skjer </w:t>
      </w:r>
      <w:proofErr w:type="spellStart"/>
      <w:r w:rsidRPr="00033D3E">
        <w:t>når</w:t>
      </w:r>
      <w:proofErr w:type="spellEnd"/>
      <w:r w:rsidRPr="00033D3E">
        <w:t xml:space="preserve"> fullmakten kommer til et opphør. </w:t>
      </w:r>
    </w:p>
    <w:p w14:paraId="6C691D83" w14:textId="77777777" w:rsidR="00033D3E" w:rsidRPr="00033D3E" w:rsidRDefault="00033D3E" w:rsidP="00033D3E">
      <w:pPr>
        <w:pStyle w:val="NormalWeb"/>
        <w:spacing w:line="360" w:lineRule="auto"/>
      </w:pPr>
      <w:r w:rsidRPr="00033D3E">
        <w:t xml:space="preserve">For at et fullmaktsforhold basert </w:t>
      </w:r>
      <w:proofErr w:type="spellStart"/>
      <w:r w:rsidRPr="00033D3E">
        <w:t>pa</w:t>
      </w:r>
      <w:proofErr w:type="spellEnd"/>
      <w:r w:rsidRPr="00033D3E">
        <w:t xml:space="preserve">̊ stillingsfullmakt skal anses som opphørt kreves det bare at representanten fjernes fra stillingen som har gitt ham fullmakten. Dette finner vi i § 15. </w:t>
      </w:r>
    </w:p>
    <w:p w14:paraId="179E1FEE" w14:textId="77777777" w:rsidR="00033D3E" w:rsidRPr="00033D3E" w:rsidRDefault="00033D3E" w:rsidP="00033D3E">
      <w:pPr>
        <w:pStyle w:val="NormalWeb"/>
        <w:spacing w:line="360" w:lineRule="auto"/>
      </w:pPr>
      <w:commentRangeStart w:id="9"/>
      <w:r w:rsidRPr="00033D3E">
        <w:t xml:space="preserve">For at en frasagnsfullmakt skal være tilbakekalt kreves det at erklæringen om tilbakekall av fullmakten gis som en ny erklæring ovenfor tredjeperson, jf. § 13. Her er det </w:t>
      </w:r>
      <w:proofErr w:type="spellStart"/>
      <w:r w:rsidRPr="00033D3E">
        <w:t>ogsa</w:t>
      </w:r>
      <w:proofErr w:type="spellEnd"/>
      <w:r w:rsidRPr="00033D3E">
        <w:t xml:space="preserve">̊ viktig at erklæringen om tilbakekall gis </w:t>
      </w:r>
      <w:proofErr w:type="spellStart"/>
      <w:r w:rsidRPr="00033D3E">
        <w:t>pa</w:t>
      </w:r>
      <w:proofErr w:type="spellEnd"/>
      <w:r w:rsidRPr="00033D3E">
        <w:t xml:space="preserve">̊ samme </w:t>
      </w:r>
      <w:proofErr w:type="spellStart"/>
      <w:r w:rsidRPr="00033D3E">
        <w:t>måte</w:t>
      </w:r>
      <w:proofErr w:type="spellEnd"/>
      <w:r w:rsidRPr="00033D3E">
        <w:t xml:space="preserve"> som erklæringen om fullmakten ble gitt. Er den f.eks. gitt ved skriftlighet, </w:t>
      </w:r>
      <w:proofErr w:type="spellStart"/>
      <w:r w:rsidRPr="00033D3E">
        <w:t>ma</w:t>
      </w:r>
      <w:proofErr w:type="spellEnd"/>
      <w:r w:rsidRPr="00033D3E">
        <w:t xml:space="preserve">̊ den tilbakekalles </w:t>
      </w:r>
      <w:proofErr w:type="spellStart"/>
      <w:r w:rsidRPr="00033D3E">
        <w:t>skriflig</w:t>
      </w:r>
      <w:proofErr w:type="spellEnd"/>
      <w:r w:rsidRPr="00033D3E">
        <w:t xml:space="preserve"> </w:t>
      </w:r>
      <w:proofErr w:type="spellStart"/>
      <w:r w:rsidRPr="00033D3E">
        <w:t>ogsa</w:t>
      </w:r>
      <w:proofErr w:type="spellEnd"/>
      <w:r w:rsidRPr="00033D3E">
        <w:t xml:space="preserve">̊, jf. § 16. </w:t>
      </w:r>
    </w:p>
    <w:p w14:paraId="283BB252" w14:textId="77777777" w:rsidR="00033D3E" w:rsidRPr="00033D3E" w:rsidRDefault="00033D3E" w:rsidP="00033D3E">
      <w:pPr>
        <w:pStyle w:val="NormalWeb"/>
        <w:spacing w:line="360" w:lineRule="auto"/>
      </w:pPr>
      <w:r w:rsidRPr="00033D3E">
        <w:t xml:space="preserve">Ved tilbakekallelse av en oppdragsfullmakt er det etter avtl. § 18 tilstrekkelig at prinsipalen sier til representanten at fullmakten er tilbakekalt. </w:t>
      </w:r>
      <w:commentRangeEnd w:id="9"/>
      <w:r w:rsidR="00426170">
        <w:rPr>
          <w:rStyle w:val="Merknadsreferanse"/>
          <w:rFonts w:asciiTheme="minorHAnsi" w:eastAsiaTheme="minorHAnsi" w:hAnsiTheme="minorHAnsi" w:cstheme="minorBidi"/>
          <w:lang w:eastAsia="en-US"/>
        </w:rPr>
        <w:commentReference w:id="9"/>
      </w:r>
    </w:p>
    <w:p w14:paraId="1534CADC" w14:textId="77777777" w:rsidR="00033D3E" w:rsidRPr="00033D3E" w:rsidRDefault="00033D3E" w:rsidP="00033D3E">
      <w:pPr>
        <w:pStyle w:val="NormalWeb"/>
        <w:spacing w:line="360" w:lineRule="auto"/>
      </w:pPr>
      <w:r w:rsidRPr="00033D3E">
        <w:t xml:space="preserve">Vi ser her en stor forskjell mellom de ulike formene for fullmakt. Det stilles større formkrav til de selvstendige fullmaktene. </w:t>
      </w:r>
    </w:p>
    <w:p w14:paraId="25570FF2" w14:textId="77777777" w:rsidR="00033D3E" w:rsidRPr="00033D3E" w:rsidRDefault="00033D3E" w:rsidP="00033D3E">
      <w:pPr>
        <w:pStyle w:val="NormalWeb"/>
        <w:spacing w:line="360" w:lineRule="auto"/>
      </w:pPr>
      <w:proofErr w:type="spellStart"/>
      <w:r w:rsidRPr="00033D3E">
        <w:rPr>
          <w:color w:val="1E3560"/>
        </w:rPr>
        <w:t>Innstruksbrudd</w:t>
      </w:r>
      <w:proofErr w:type="spellEnd"/>
      <w:r w:rsidRPr="00033D3E">
        <w:rPr>
          <w:color w:val="1E3560"/>
        </w:rPr>
        <w:t xml:space="preserve"> </w:t>
      </w:r>
    </w:p>
    <w:p w14:paraId="180B8F55" w14:textId="77777777" w:rsidR="00033D3E" w:rsidRPr="00033D3E" w:rsidRDefault="00033D3E" w:rsidP="00033D3E">
      <w:pPr>
        <w:pStyle w:val="NormalWeb"/>
        <w:spacing w:line="360" w:lineRule="auto"/>
      </w:pPr>
      <w:r w:rsidRPr="00033D3E">
        <w:t xml:space="preserve">Den siste forskjellen mellom de lovfestete fullmaktene som jeg velger å trekke frem er hva som skjer om representanten </w:t>
      </w:r>
      <w:proofErr w:type="spellStart"/>
      <w:r w:rsidRPr="00033D3E">
        <w:t>går</w:t>
      </w:r>
      <w:proofErr w:type="spellEnd"/>
      <w:r w:rsidRPr="00033D3E">
        <w:t xml:space="preserve"> utenfor instruksen den har </w:t>
      </w:r>
      <w:proofErr w:type="spellStart"/>
      <w:r w:rsidRPr="00033D3E">
        <w:t>fått</w:t>
      </w:r>
      <w:proofErr w:type="spellEnd"/>
      <w:r w:rsidRPr="00033D3E">
        <w:t xml:space="preserve">. </w:t>
      </w:r>
    </w:p>
    <w:p w14:paraId="0E86703F" w14:textId="77777777" w:rsidR="00033D3E" w:rsidRPr="00033D3E" w:rsidRDefault="00033D3E" w:rsidP="00033D3E">
      <w:pPr>
        <w:pStyle w:val="NormalWeb"/>
        <w:spacing w:line="360" w:lineRule="auto"/>
      </w:pPr>
      <w:commentRangeStart w:id="10"/>
      <w:r w:rsidRPr="00033D3E">
        <w:t xml:space="preserve">Konsekvensen av </w:t>
      </w:r>
      <w:proofErr w:type="spellStart"/>
      <w:r w:rsidRPr="00033D3E">
        <w:t>Innstruksbrudd</w:t>
      </w:r>
      <w:proofErr w:type="spellEnd"/>
      <w:r w:rsidRPr="00033D3E">
        <w:t xml:space="preserve"> </w:t>
      </w:r>
      <w:commentRangeEnd w:id="10"/>
      <w:r w:rsidR="00794230">
        <w:rPr>
          <w:rStyle w:val="Merknadsreferanse"/>
          <w:rFonts w:asciiTheme="minorHAnsi" w:eastAsiaTheme="minorHAnsi" w:hAnsiTheme="minorHAnsi" w:cstheme="minorBidi"/>
          <w:lang w:eastAsia="en-US"/>
        </w:rPr>
        <w:commentReference w:id="10"/>
      </w:r>
      <w:r w:rsidRPr="00033D3E">
        <w:t xml:space="preserve">er den samme for de selvstendige fullmaktene. Det følger av § 11 andre ledd at om en representant har brutt instruksen for fullmakten sin, kan prinsipalen anses som bundet om tredjepart var i aktsom god tro. Om prinsipalen er bundet beror dermed </w:t>
      </w:r>
      <w:proofErr w:type="spellStart"/>
      <w:r w:rsidRPr="00033D3E">
        <w:t>pa</w:t>
      </w:r>
      <w:proofErr w:type="spellEnd"/>
      <w:r w:rsidRPr="00033D3E">
        <w:t xml:space="preserve">̊ om tredjepersonen kjente eller burde ha kjent til at representanten gikk utenfor instruksen sin. </w:t>
      </w:r>
    </w:p>
    <w:p w14:paraId="568CD57C" w14:textId="77777777" w:rsidR="00033D3E" w:rsidRPr="00033D3E" w:rsidRDefault="00033D3E" w:rsidP="00033D3E">
      <w:pPr>
        <w:pStyle w:val="NormalWeb"/>
        <w:spacing w:line="360" w:lineRule="auto"/>
      </w:pPr>
      <w:r w:rsidRPr="00033D3E">
        <w:t xml:space="preserve">De selvstendige fullmaktene skiller seg her fra oppdragsfullmakten. Bryter en representant med en oppdragsfullmakt. Bryter en med oppdragsfullmakt instruksen sin vil ikke prinsipalen bli bundet. Dette er uavhengig om tredjemann var i god tro eller ikke, jf. § 11 andre ledd. </w:t>
      </w:r>
    </w:p>
    <w:p w14:paraId="138C4638" w14:textId="77777777" w:rsidR="00033D3E" w:rsidRPr="00033D3E" w:rsidRDefault="00033D3E" w:rsidP="00033D3E">
      <w:pPr>
        <w:pStyle w:val="NormalWeb"/>
        <w:spacing w:line="360" w:lineRule="auto"/>
      </w:pPr>
      <w:r w:rsidRPr="00033D3E">
        <w:t xml:space="preserve">Bakgrunnen for at det ikke er av betydning om tredjeperson var i god tro ved tale om </w:t>
      </w:r>
      <w:proofErr w:type="spellStart"/>
      <w:r w:rsidRPr="00033D3E">
        <w:t>Innstruksbrudd</w:t>
      </w:r>
      <w:proofErr w:type="spellEnd"/>
      <w:r w:rsidRPr="00033D3E">
        <w:t xml:space="preserve"> </w:t>
      </w:r>
      <w:proofErr w:type="spellStart"/>
      <w:r w:rsidRPr="00033D3E">
        <w:t>pa</w:t>
      </w:r>
      <w:proofErr w:type="spellEnd"/>
      <w:r w:rsidRPr="00033D3E">
        <w:t xml:space="preserve">̊ oppdragsfullmakt kommer av at tredjemann kun har representanten sitt ord å stole </w:t>
      </w:r>
      <w:proofErr w:type="spellStart"/>
      <w:r w:rsidRPr="00033D3E">
        <w:t>pa</w:t>
      </w:r>
      <w:proofErr w:type="spellEnd"/>
      <w:r w:rsidRPr="00033D3E">
        <w:t xml:space="preserve">̊. Tredjemann </w:t>
      </w:r>
      <w:proofErr w:type="spellStart"/>
      <w:r w:rsidRPr="00033D3E">
        <w:t>ma</w:t>
      </w:r>
      <w:proofErr w:type="spellEnd"/>
      <w:r w:rsidRPr="00033D3E">
        <w:t xml:space="preserve">̊ da bære risikoen for at representanten ikke hadde retten. Her blir hensynet til prinsipalen vektlagt sterkere enn hensynet til tredjemann. Dette er fordi det ville vært svært urimelig å gi prinsipalen risikoen for at folk utgir seg for å kunne binde </w:t>
      </w:r>
      <w:commentRangeStart w:id="11"/>
      <w:r w:rsidRPr="00033D3E">
        <w:t xml:space="preserve">en. </w:t>
      </w:r>
      <w:commentRangeEnd w:id="11"/>
      <w:r w:rsidR="00426170">
        <w:rPr>
          <w:rStyle w:val="Merknadsreferanse"/>
          <w:rFonts w:asciiTheme="minorHAnsi" w:eastAsiaTheme="minorHAnsi" w:hAnsiTheme="minorHAnsi" w:cstheme="minorBidi"/>
          <w:lang w:eastAsia="en-US"/>
        </w:rPr>
        <w:commentReference w:id="11"/>
      </w:r>
    </w:p>
    <w:p w14:paraId="555E3558" w14:textId="77777777" w:rsidR="00033D3E" w:rsidRDefault="00033D3E" w:rsidP="00033D3E">
      <w:pPr>
        <w:pStyle w:val="NormalWeb"/>
        <w:spacing w:line="360" w:lineRule="auto"/>
        <w:rPr>
          <w:color w:val="A6A6A6" w:themeColor="background1" w:themeShade="A6"/>
        </w:rPr>
      </w:pPr>
      <w:r w:rsidRPr="00033D3E">
        <w:rPr>
          <w:color w:val="A6A6A6" w:themeColor="background1" w:themeShade="A6"/>
        </w:rPr>
        <w:t xml:space="preserve">Oppgave 2: </w:t>
      </w:r>
    </w:p>
    <w:p w14:paraId="72881C6B" w14:textId="77777777" w:rsidR="00033D3E" w:rsidRDefault="00033D3E" w:rsidP="00033D3E">
      <w:pPr>
        <w:pStyle w:val="NormalWeb"/>
        <w:spacing w:line="360" w:lineRule="auto"/>
        <w:rPr>
          <w:color w:val="A6A6A6" w:themeColor="background1" w:themeShade="A6"/>
        </w:rPr>
      </w:pPr>
      <w:r w:rsidRPr="00033D3E">
        <w:rPr>
          <w:color w:val="A6A6A6" w:themeColor="background1" w:themeShade="A6"/>
        </w:rPr>
        <w:t xml:space="preserve">Peder Ås, eier og er eneste ansatt i Snekker ENK. Han har fått i oppdrag å bygge et ferdighus for Marte Kirkerud. Peder logger seg på Ferdighus AS sin hjemmeside, www.ferdighus.no, for å kjøpe huset på Internett. På siden navigerer han seg frem til ferdighuset Stua, og Peder klikker på en lenke hvor det står «kjøp» ved siden av </w:t>
      </w:r>
      <w:proofErr w:type="spellStart"/>
      <w:r w:rsidRPr="00033D3E">
        <w:rPr>
          <w:color w:val="A6A6A6" w:themeColor="background1" w:themeShade="A6"/>
        </w:rPr>
        <w:t>husnavnet</w:t>
      </w:r>
      <w:proofErr w:type="spellEnd"/>
      <w:r w:rsidRPr="00033D3E">
        <w:rPr>
          <w:color w:val="A6A6A6" w:themeColor="background1" w:themeShade="A6"/>
        </w:rPr>
        <w:t xml:space="preserve">. Da får han opp et skjema på skjermen sin, hvor Peder bes om å krysse av dato og klokkeslett for når han ønsker å få Stua levert, velge kjøkken, stue, bad, treverk og farger. Beløpet er på 350.000 kroner, som ikke inkluderer levering og installasjon. Peder må også fylle inn sitt kredittkortnummer. Etter å ha fylt inn alt dette, </w:t>
      </w:r>
      <w:proofErr w:type="gramStart"/>
      <w:r w:rsidRPr="00033D3E">
        <w:rPr>
          <w:color w:val="A6A6A6" w:themeColor="background1" w:themeShade="A6"/>
        </w:rPr>
        <w:t>klikker</w:t>
      </w:r>
      <w:proofErr w:type="gramEnd"/>
      <w:r w:rsidRPr="00033D3E">
        <w:rPr>
          <w:color w:val="A6A6A6" w:themeColor="background1" w:themeShade="A6"/>
        </w:rPr>
        <w:t xml:space="preserve"> Peder på en grønn knapp «klikk her». Da sender Peders datamaskin en melding om kjøpet til Ferdighus AS sin datamaskin, og kjøpet blir registrert i selskapets database. Ferdighus AS sin datamaskin sender deretter automatisk en epost til Peder med bekreftelse av kjøpet. </w:t>
      </w:r>
    </w:p>
    <w:p w14:paraId="6D017353" w14:textId="6AB71C58" w:rsidR="00033D3E" w:rsidRDefault="00033D3E" w:rsidP="00033D3E">
      <w:pPr>
        <w:pStyle w:val="NormalWeb"/>
        <w:spacing w:line="360" w:lineRule="auto"/>
        <w:rPr>
          <w:color w:val="A6A6A6" w:themeColor="background1" w:themeShade="A6"/>
        </w:rPr>
      </w:pPr>
      <w:r w:rsidRPr="00033D3E">
        <w:rPr>
          <w:color w:val="A6A6A6" w:themeColor="background1" w:themeShade="A6"/>
        </w:rPr>
        <w:t xml:space="preserve">En måned senere får Peder Ås en e-post fra Ferdighus AS, hvor det står at en av Ferdighus AS sine ansatte har skrevet feil på deres nettside. Prisen, som skulle ha vært 500.000 kroner, ble istedenfor 350.000 kroner. Ferdighus AS beklager dette i eposten og informer Peder Ås om at vedlagt avtale med rettet pris er vedlagt, og ber Peder Ås om å skrive under avtalen. Peder Ås avviser ny vedlagt avtale ovenfor Ferdighus AS og mener at gammel avtale fortsatt er bindende. Ferdighus AS påpeker at den gamle avtalen uansett ville være ugyldig etter § 36, da den gamle avtalen ville være sterkt urimelig for Ferdighus AS. Ferdighus AS tjener kun 75.000 kroner per solgte Stua, og ville med den gamle avtalen tape 75.000 kroner om de er tvunget til å være bundet av den gamle avtalen. I lys av sterkt økende råvarepriser den siste uken ligger Ferdighus AS an til å tape 150.000 kroner om ikke prisen justeres til 500.000 kroner. Ferdighus AS argumenterer videre at selskapet er et lite </w:t>
      </w:r>
      <w:proofErr w:type="spellStart"/>
      <w:r w:rsidRPr="00033D3E">
        <w:rPr>
          <w:color w:val="A6A6A6" w:themeColor="background1" w:themeShade="A6"/>
        </w:rPr>
        <w:t>nyoppstartet</w:t>
      </w:r>
      <w:proofErr w:type="spellEnd"/>
      <w:r w:rsidRPr="00033D3E">
        <w:rPr>
          <w:color w:val="A6A6A6" w:themeColor="background1" w:themeShade="A6"/>
        </w:rPr>
        <w:t xml:space="preserve"> selskap, i forhold til Peder Ås, som er en dreven snekker med 30 års erfaring. Ferdighus AS mener at Peder Ås burde visst at Stua var for billig, mens Peder Ås trodde at det nye selskapet ønsker å gi en god pris for å få i gang salget.</w:t>
      </w:r>
    </w:p>
    <w:p w14:paraId="0DC75654" w14:textId="0DA41561" w:rsidR="00033D3E" w:rsidRDefault="00033D3E" w:rsidP="00033D3E">
      <w:pPr>
        <w:pStyle w:val="NormalWeb"/>
        <w:spacing w:line="360" w:lineRule="auto"/>
        <w:rPr>
          <w:color w:val="A6A6A6" w:themeColor="background1" w:themeShade="A6"/>
        </w:rPr>
      </w:pPr>
      <w:r w:rsidRPr="00033D3E">
        <w:rPr>
          <w:color w:val="A6A6A6" w:themeColor="background1" w:themeShade="A6"/>
        </w:rPr>
        <w:t>Spørsmål a) Er det inngått en bindende avtale mellom Snekker ENK og Ferdighus AS?</w:t>
      </w:r>
    </w:p>
    <w:p w14:paraId="68AF9DED" w14:textId="77777777" w:rsidR="00033D3E" w:rsidRPr="00033D3E" w:rsidRDefault="00033D3E" w:rsidP="00033D3E">
      <w:pPr>
        <w:pStyle w:val="NormalWeb"/>
        <w:spacing w:line="360" w:lineRule="auto"/>
      </w:pPr>
      <w:r w:rsidRPr="00033D3E">
        <w:rPr>
          <w:color w:val="2D5193"/>
        </w:rPr>
        <w:t xml:space="preserve">Oppgave 2 </w:t>
      </w:r>
    </w:p>
    <w:p w14:paraId="344A6A89" w14:textId="77777777" w:rsidR="00033D3E" w:rsidRPr="00033D3E" w:rsidRDefault="00033D3E" w:rsidP="00033D3E">
      <w:pPr>
        <w:pStyle w:val="NormalWeb"/>
        <w:spacing w:line="360" w:lineRule="auto"/>
      </w:pPr>
      <w:r w:rsidRPr="00033D3E">
        <w:t xml:space="preserve">Sakens parter er Snekker ENK (Peder) og Ferdig hus As. </w:t>
      </w:r>
    </w:p>
    <w:p w14:paraId="25E5D0A7" w14:textId="77777777" w:rsidR="00033D3E" w:rsidRPr="00033D3E" w:rsidRDefault="00033D3E" w:rsidP="00033D3E">
      <w:pPr>
        <w:pStyle w:val="NormalWeb"/>
        <w:spacing w:line="360" w:lineRule="auto"/>
      </w:pPr>
      <w:commentRangeStart w:id="12"/>
      <w:r w:rsidRPr="00033D3E">
        <w:t xml:space="preserve">Peder har anført at han er bundet til avtalen. Ferdig hus motsier seg dette da de mener den var ugyldig grunnet feil i avtalen. </w:t>
      </w:r>
    </w:p>
    <w:p w14:paraId="7C826A0F" w14:textId="77777777" w:rsidR="00033D3E" w:rsidRPr="00033D3E" w:rsidRDefault="00033D3E" w:rsidP="00033D3E">
      <w:pPr>
        <w:pStyle w:val="NormalWeb"/>
        <w:spacing w:line="360" w:lineRule="auto"/>
      </w:pPr>
      <w:r w:rsidRPr="00033D3E">
        <w:t xml:space="preserve">Det følger av faktum at Peder har </w:t>
      </w:r>
      <w:proofErr w:type="spellStart"/>
      <w:r w:rsidRPr="00033D3E">
        <w:t>fått</w:t>
      </w:r>
      <w:proofErr w:type="spellEnd"/>
      <w:r w:rsidRPr="00033D3E">
        <w:t xml:space="preserve"> i oppgave å bygge et hus for Marte. Selv om det foreligger en sak hvor Marte gir Peder et oppdrag er det ikke tale om et fullmaktsforhold. Det er derfor </w:t>
      </w:r>
      <w:proofErr w:type="spellStart"/>
      <w:r w:rsidRPr="00033D3E">
        <w:t>pa</w:t>
      </w:r>
      <w:proofErr w:type="spellEnd"/>
      <w:r w:rsidRPr="00033D3E">
        <w:t xml:space="preserve">̊ det rene at om avtalen er </w:t>
      </w:r>
      <w:proofErr w:type="spellStart"/>
      <w:r w:rsidRPr="00033D3E">
        <w:t>inngått</w:t>
      </w:r>
      <w:proofErr w:type="spellEnd"/>
      <w:r w:rsidRPr="00033D3E">
        <w:t xml:space="preserve"> mellom partene er den </w:t>
      </w:r>
      <w:proofErr w:type="spellStart"/>
      <w:r w:rsidRPr="00033D3E">
        <w:t>inngått</w:t>
      </w:r>
      <w:proofErr w:type="spellEnd"/>
      <w:r w:rsidRPr="00033D3E">
        <w:t xml:space="preserve"> mellom Peder og Ferdighus. Hadde det vært et fullmaktsforhold ville avtalen ikke vært </w:t>
      </w:r>
      <w:proofErr w:type="spellStart"/>
      <w:r w:rsidRPr="00033D3E">
        <w:t>inngått</w:t>
      </w:r>
      <w:proofErr w:type="spellEnd"/>
      <w:r w:rsidRPr="00033D3E">
        <w:t xml:space="preserve"> mellom Peder og ferdighus, men mellom Marte og ferdighus. </w:t>
      </w:r>
      <w:commentRangeEnd w:id="12"/>
      <w:r w:rsidR="00867F15">
        <w:rPr>
          <w:rStyle w:val="Merknadsreferanse"/>
          <w:rFonts w:asciiTheme="minorHAnsi" w:eastAsiaTheme="minorHAnsi" w:hAnsiTheme="minorHAnsi" w:cstheme="minorBidi"/>
          <w:lang w:eastAsia="en-US"/>
        </w:rPr>
        <w:commentReference w:id="12"/>
      </w:r>
    </w:p>
    <w:p w14:paraId="322BC806" w14:textId="77777777" w:rsidR="00033D3E" w:rsidRPr="00033D3E" w:rsidRDefault="00033D3E" w:rsidP="00033D3E">
      <w:pPr>
        <w:pStyle w:val="NormalWeb"/>
        <w:spacing w:line="360" w:lineRule="auto"/>
      </w:pPr>
      <w:r w:rsidRPr="00033D3E">
        <w:t xml:space="preserve">Det overordnende </w:t>
      </w:r>
      <w:proofErr w:type="spellStart"/>
      <w:r w:rsidRPr="00033D3E">
        <w:t>spørsmålet</w:t>
      </w:r>
      <w:proofErr w:type="spellEnd"/>
      <w:r w:rsidRPr="00033D3E">
        <w:t xml:space="preserve"> er om det er </w:t>
      </w:r>
      <w:proofErr w:type="spellStart"/>
      <w:r w:rsidRPr="00033D3E">
        <w:t>inngått</w:t>
      </w:r>
      <w:proofErr w:type="spellEnd"/>
      <w:r w:rsidRPr="00033D3E">
        <w:t xml:space="preserve"> en bindende avtale mellom Peder og Ferdighus. </w:t>
      </w:r>
    </w:p>
    <w:p w14:paraId="54A54A59" w14:textId="77777777" w:rsidR="00033D3E" w:rsidRPr="00033D3E" w:rsidRDefault="00033D3E" w:rsidP="00033D3E">
      <w:pPr>
        <w:pStyle w:val="NormalWeb"/>
        <w:spacing w:line="360" w:lineRule="auto"/>
      </w:pPr>
      <w:r w:rsidRPr="00033D3E">
        <w:t xml:space="preserve">Avtaleloven sier ingenting om grensene for </w:t>
      </w:r>
      <w:proofErr w:type="spellStart"/>
      <w:r w:rsidRPr="00033D3E">
        <w:t>når</w:t>
      </w:r>
      <w:proofErr w:type="spellEnd"/>
      <w:r w:rsidRPr="00033D3E">
        <w:t xml:space="preserve"> en avtale anses som </w:t>
      </w:r>
      <w:proofErr w:type="spellStart"/>
      <w:r w:rsidRPr="00033D3E">
        <w:t>inngått</w:t>
      </w:r>
      <w:proofErr w:type="spellEnd"/>
      <w:r w:rsidRPr="00033D3E">
        <w:t xml:space="preserve">. Drøftelsen tar dermed utgangspunkt i ulovfestet rett. </w:t>
      </w:r>
    </w:p>
    <w:p w14:paraId="64220CB3" w14:textId="77777777" w:rsidR="00033D3E" w:rsidRPr="00033D3E" w:rsidRDefault="00033D3E" w:rsidP="00033D3E">
      <w:pPr>
        <w:pStyle w:val="NormalWeb"/>
        <w:spacing w:line="360" w:lineRule="auto"/>
      </w:pPr>
      <w:commentRangeStart w:id="13"/>
      <w:r w:rsidRPr="00033D3E">
        <w:t xml:space="preserve">Det følger av en samlet rettspraksis at i henhold til av om en avtale er ansett </w:t>
      </w:r>
      <w:proofErr w:type="spellStart"/>
      <w:r w:rsidRPr="00033D3E">
        <w:t>inngått</w:t>
      </w:r>
      <w:proofErr w:type="spellEnd"/>
      <w:r w:rsidRPr="00033D3E">
        <w:t xml:space="preserve"> beror </w:t>
      </w:r>
      <w:proofErr w:type="spellStart"/>
      <w:r w:rsidRPr="00033D3E">
        <w:t>pa</w:t>
      </w:r>
      <w:proofErr w:type="spellEnd"/>
      <w:r w:rsidRPr="00033D3E">
        <w:t xml:space="preserve">̊ om den ene parten har </w:t>
      </w:r>
      <w:proofErr w:type="spellStart"/>
      <w:r w:rsidRPr="00033D3E">
        <w:t>fått</w:t>
      </w:r>
      <w:proofErr w:type="spellEnd"/>
      <w:r w:rsidRPr="00033D3E">
        <w:t xml:space="preserve"> en rimelig grunn til å tro at den andre ønsker å binde seg, jf. f.eks. tomtekjøps-dommen og hotell-dommen</w:t>
      </w:r>
      <w:commentRangeEnd w:id="13"/>
      <w:r w:rsidR="00EE0201">
        <w:rPr>
          <w:rStyle w:val="Merknadsreferanse"/>
          <w:rFonts w:asciiTheme="minorHAnsi" w:eastAsiaTheme="minorHAnsi" w:hAnsiTheme="minorHAnsi" w:cstheme="minorBidi"/>
          <w:lang w:eastAsia="en-US"/>
        </w:rPr>
        <w:commentReference w:id="13"/>
      </w:r>
      <w:r w:rsidRPr="00033D3E">
        <w:t xml:space="preserve">. </w:t>
      </w:r>
    </w:p>
    <w:p w14:paraId="094E1D1A" w14:textId="77777777" w:rsidR="00033D3E" w:rsidRPr="00033D3E" w:rsidRDefault="00033D3E" w:rsidP="00033D3E">
      <w:pPr>
        <w:pStyle w:val="NormalWeb"/>
        <w:spacing w:line="360" w:lineRule="auto"/>
      </w:pPr>
      <w:commentRangeStart w:id="14"/>
      <w:r w:rsidRPr="00033D3E">
        <w:t xml:space="preserve">Det overordnende </w:t>
      </w:r>
      <w:proofErr w:type="spellStart"/>
      <w:r w:rsidRPr="00033D3E">
        <w:t>spørsmålet</w:t>
      </w:r>
      <w:proofErr w:type="spellEnd"/>
      <w:r w:rsidRPr="00033D3E">
        <w:t xml:space="preserve"> blir dermed om Peder har rimelig grunn til å tro at Ferdig Hus hadde som hensikt å inngå bindende avtale. </w:t>
      </w:r>
      <w:commentRangeEnd w:id="14"/>
      <w:r w:rsidR="00802231">
        <w:rPr>
          <w:rStyle w:val="Merknadsreferanse"/>
          <w:rFonts w:asciiTheme="minorHAnsi" w:eastAsiaTheme="minorHAnsi" w:hAnsiTheme="minorHAnsi" w:cstheme="minorBidi"/>
          <w:lang w:eastAsia="en-US"/>
        </w:rPr>
        <w:commentReference w:id="14"/>
      </w:r>
    </w:p>
    <w:p w14:paraId="14BF1B68" w14:textId="77777777" w:rsidR="00033D3E" w:rsidRPr="00033D3E" w:rsidRDefault="00033D3E" w:rsidP="00033D3E">
      <w:pPr>
        <w:pStyle w:val="NormalWeb"/>
        <w:spacing w:line="360" w:lineRule="auto"/>
      </w:pPr>
      <w:r w:rsidRPr="00033D3E">
        <w:t xml:space="preserve">Det har gjennom rettspraksis blitt dannet retningslinjer for drøftelsen om bindende avtale er </w:t>
      </w:r>
      <w:proofErr w:type="spellStart"/>
      <w:r w:rsidRPr="00033D3E">
        <w:t>inngått</w:t>
      </w:r>
      <w:proofErr w:type="spellEnd"/>
      <w:r w:rsidRPr="00033D3E">
        <w:t xml:space="preserve"> mellom partene. Dette beror </w:t>
      </w:r>
      <w:proofErr w:type="spellStart"/>
      <w:r w:rsidRPr="00033D3E">
        <w:t>pa</w:t>
      </w:r>
      <w:proofErr w:type="spellEnd"/>
      <w:r w:rsidRPr="00033D3E">
        <w:t xml:space="preserve">̊ en helhetlig vurdering av den naturlige </w:t>
      </w:r>
      <w:proofErr w:type="spellStart"/>
      <w:r w:rsidRPr="00033D3E">
        <w:t>språklige</w:t>
      </w:r>
      <w:proofErr w:type="spellEnd"/>
      <w:r w:rsidRPr="00033D3E">
        <w:t xml:space="preserve"> </w:t>
      </w:r>
      <w:proofErr w:type="spellStart"/>
      <w:r w:rsidRPr="00033D3E">
        <w:t>forståelsen</w:t>
      </w:r>
      <w:proofErr w:type="spellEnd"/>
      <w:r w:rsidRPr="00033D3E">
        <w:t xml:space="preserve"> av partenes uttalelser og atferd, samt hvor vidt det er enighet om de vesentlige punkter, jf. Hotell-dommen og Vinagent dommen. At det </w:t>
      </w:r>
      <w:proofErr w:type="spellStart"/>
      <w:r w:rsidRPr="00033D3E">
        <w:t>ma</w:t>
      </w:r>
      <w:proofErr w:type="spellEnd"/>
      <w:r w:rsidRPr="00033D3E">
        <w:t xml:space="preserve">̊ foretas en slik helhetlig vurdering av relevante forhold er </w:t>
      </w:r>
      <w:proofErr w:type="spellStart"/>
      <w:r w:rsidRPr="00033D3E">
        <w:t>ogsa</w:t>
      </w:r>
      <w:proofErr w:type="spellEnd"/>
      <w:r w:rsidRPr="00033D3E">
        <w:t xml:space="preserve">̊ lagt til grunn i CISG artikkel 8 tredje ledd. </w:t>
      </w:r>
    </w:p>
    <w:p w14:paraId="028B17A9" w14:textId="77777777" w:rsidR="00033D3E" w:rsidRPr="00033D3E" w:rsidRDefault="00033D3E" w:rsidP="00033D3E">
      <w:pPr>
        <w:pStyle w:val="NormalWeb"/>
        <w:spacing w:line="360" w:lineRule="auto"/>
      </w:pPr>
      <w:commentRangeStart w:id="15"/>
      <w:r w:rsidRPr="00033D3E">
        <w:t xml:space="preserve">Det første </w:t>
      </w:r>
      <w:proofErr w:type="spellStart"/>
      <w:r w:rsidRPr="00033D3E">
        <w:t>spørsmålet</w:t>
      </w:r>
      <w:proofErr w:type="spellEnd"/>
      <w:r w:rsidRPr="00033D3E">
        <w:t xml:space="preserve"> blir dermed om partenes utsagn og atferd har gitt Peder en rimelig grunn til å tro at bindende avtale er </w:t>
      </w:r>
      <w:proofErr w:type="spellStart"/>
      <w:r w:rsidRPr="00033D3E">
        <w:t>inngått</w:t>
      </w:r>
      <w:proofErr w:type="spellEnd"/>
      <w:r w:rsidRPr="00033D3E">
        <w:t xml:space="preserve">. </w:t>
      </w:r>
    </w:p>
    <w:p w14:paraId="2D176EAF" w14:textId="77777777" w:rsidR="00033D3E" w:rsidRPr="00033D3E" w:rsidRDefault="00033D3E" w:rsidP="00033D3E">
      <w:pPr>
        <w:pStyle w:val="NormalWeb"/>
        <w:spacing w:line="360" w:lineRule="auto"/>
      </w:pPr>
      <w:r w:rsidRPr="00033D3E">
        <w:t xml:space="preserve">Det følger av faktum at Peder fant prisen </w:t>
      </w:r>
      <w:proofErr w:type="spellStart"/>
      <w:r w:rsidRPr="00033D3E">
        <w:t>pa</w:t>
      </w:r>
      <w:proofErr w:type="spellEnd"/>
      <w:r w:rsidRPr="00033D3E">
        <w:t xml:space="preserve">̊ huset inne </w:t>
      </w:r>
      <w:proofErr w:type="spellStart"/>
      <w:r w:rsidRPr="00033D3E">
        <w:t>pa</w:t>
      </w:r>
      <w:proofErr w:type="spellEnd"/>
      <w:r w:rsidRPr="00033D3E">
        <w:t xml:space="preserve">̊ ferdig hus sin nettside. Det neste </w:t>
      </w:r>
      <w:proofErr w:type="spellStart"/>
      <w:r w:rsidRPr="00033D3E">
        <w:t>spørsmålet</w:t>
      </w:r>
      <w:proofErr w:type="spellEnd"/>
      <w:r w:rsidRPr="00033D3E">
        <w:t xml:space="preserve"> blir dermed om dette er å anse som noe som kan gi Peder rimelig grunn til å tro at Ferdighus vil binde seg. </w:t>
      </w:r>
      <w:commentRangeEnd w:id="15"/>
      <w:r w:rsidR="00B92C40">
        <w:rPr>
          <w:rStyle w:val="Merknadsreferanse"/>
          <w:rFonts w:asciiTheme="minorHAnsi" w:eastAsiaTheme="minorHAnsi" w:hAnsiTheme="minorHAnsi" w:cstheme="minorBidi"/>
          <w:lang w:eastAsia="en-US"/>
        </w:rPr>
        <w:commentReference w:id="15"/>
      </w:r>
    </w:p>
    <w:p w14:paraId="76FE0391" w14:textId="77777777" w:rsidR="00033D3E" w:rsidRPr="00033D3E" w:rsidRDefault="00033D3E" w:rsidP="00033D3E">
      <w:pPr>
        <w:pStyle w:val="NormalWeb"/>
        <w:spacing w:line="360" w:lineRule="auto"/>
      </w:pPr>
      <w:commentRangeStart w:id="16"/>
      <w:r w:rsidRPr="00033D3E">
        <w:t xml:space="preserve">Det følger av juridisk teori at om en nettside legger ut informasjon om pris, som treffer samtlige personer, er det ikke å anse som et tilbud, men en oppfordring til å gi et tilbud. Dette er </w:t>
      </w:r>
      <w:proofErr w:type="spellStart"/>
      <w:r w:rsidRPr="00033D3E">
        <w:t>ogsa</w:t>
      </w:r>
      <w:proofErr w:type="spellEnd"/>
      <w:r w:rsidRPr="00033D3E">
        <w:t xml:space="preserve">̊ lagt til grunn i </w:t>
      </w:r>
      <w:proofErr w:type="spellStart"/>
      <w:r w:rsidRPr="00033D3E">
        <w:t>Utk</w:t>
      </w:r>
      <w:proofErr w:type="spellEnd"/>
      <w:r w:rsidRPr="00033D3E">
        <w:t xml:space="preserve">. 1914 s. 24-25 og CISG art. 14 andre avsnitt. </w:t>
      </w:r>
    </w:p>
    <w:p w14:paraId="09DBDA46" w14:textId="77777777" w:rsidR="00033D3E" w:rsidRPr="00033D3E" w:rsidRDefault="00033D3E" w:rsidP="00033D3E">
      <w:pPr>
        <w:pStyle w:val="NormalWeb"/>
        <w:spacing w:line="360" w:lineRule="auto"/>
      </w:pPr>
      <w:r w:rsidRPr="00033D3E">
        <w:t xml:space="preserve">At ferdig hus har dette </w:t>
      </w:r>
      <w:proofErr w:type="spellStart"/>
      <w:r w:rsidRPr="00033D3E">
        <w:t>pa</w:t>
      </w:r>
      <w:proofErr w:type="spellEnd"/>
      <w:r w:rsidRPr="00033D3E">
        <w:t xml:space="preserve">̊ nettsiden sin taler derfor ikke for at det er </w:t>
      </w:r>
      <w:proofErr w:type="spellStart"/>
      <w:r w:rsidRPr="00033D3E">
        <w:t>inngått</w:t>
      </w:r>
      <w:proofErr w:type="spellEnd"/>
      <w:r w:rsidRPr="00033D3E">
        <w:t xml:space="preserve"> bindende avtale da det ikke er å anse som et rettslig bindende utsagn. Dette taler mot at Peder har rimelig grunn til å tro at bindende avtale er </w:t>
      </w:r>
      <w:proofErr w:type="spellStart"/>
      <w:r w:rsidRPr="00033D3E">
        <w:t>inngått</w:t>
      </w:r>
      <w:proofErr w:type="spellEnd"/>
      <w:r w:rsidRPr="00033D3E">
        <w:t xml:space="preserve">. </w:t>
      </w:r>
    </w:p>
    <w:p w14:paraId="1283C9BA" w14:textId="77777777" w:rsidR="00033D3E" w:rsidRPr="00033D3E" w:rsidRDefault="00033D3E" w:rsidP="00033D3E">
      <w:pPr>
        <w:pStyle w:val="NormalWeb"/>
        <w:spacing w:line="360" w:lineRule="auto"/>
      </w:pPr>
      <w:r w:rsidRPr="00033D3E">
        <w:t xml:space="preserve">Selv om informasjonen </w:t>
      </w:r>
      <w:proofErr w:type="spellStart"/>
      <w:r w:rsidRPr="00033D3E">
        <w:t>pa</w:t>
      </w:r>
      <w:proofErr w:type="spellEnd"/>
      <w:r w:rsidRPr="00033D3E">
        <w:t xml:space="preserve">̊ nettstedet ikke er å anse som tilstrekkelig for å legge til grunn at det forelå noe som kunne gi Peder en «rimelig grunn» til å tro at det var </w:t>
      </w:r>
      <w:proofErr w:type="spellStart"/>
      <w:r w:rsidRPr="00033D3E">
        <w:t>inngått</w:t>
      </w:r>
      <w:proofErr w:type="spellEnd"/>
      <w:r w:rsidRPr="00033D3E">
        <w:t xml:space="preserve"> bindende avtale, </w:t>
      </w:r>
      <w:proofErr w:type="spellStart"/>
      <w:r w:rsidRPr="00033D3E">
        <w:t>ma</w:t>
      </w:r>
      <w:proofErr w:type="spellEnd"/>
      <w:r w:rsidRPr="00033D3E">
        <w:t xml:space="preserve">̊ det likevel vektlegges at Ferdig Hus sitt datasystem sendte ut en e-post til Peder. </w:t>
      </w:r>
      <w:commentRangeEnd w:id="16"/>
      <w:r w:rsidR="004A7FC4">
        <w:rPr>
          <w:rStyle w:val="Merknadsreferanse"/>
          <w:rFonts w:asciiTheme="minorHAnsi" w:eastAsiaTheme="minorHAnsi" w:hAnsiTheme="minorHAnsi" w:cstheme="minorBidi"/>
          <w:lang w:eastAsia="en-US"/>
        </w:rPr>
        <w:commentReference w:id="16"/>
      </w:r>
    </w:p>
    <w:p w14:paraId="64DE974B" w14:textId="77777777" w:rsidR="00033D3E" w:rsidRPr="00033D3E" w:rsidRDefault="00033D3E" w:rsidP="00033D3E">
      <w:pPr>
        <w:pStyle w:val="NormalWeb"/>
        <w:spacing w:line="360" w:lineRule="auto"/>
      </w:pPr>
      <w:r w:rsidRPr="00033D3E">
        <w:t xml:space="preserve">Da Peder hadde svart </w:t>
      </w:r>
      <w:proofErr w:type="spellStart"/>
      <w:r w:rsidRPr="00033D3E">
        <w:t>pa</w:t>
      </w:r>
      <w:proofErr w:type="spellEnd"/>
      <w:r w:rsidRPr="00033D3E">
        <w:t xml:space="preserve">̊ nettsidens </w:t>
      </w:r>
      <w:proofErr w:type="spellStart"/>
      <w:r w:rsidRPr="00033D3E">
        <w:t>spørsmål</w:t>
      </w:r>
      <w:proofErr w:type="spellEnd"/>
      <w:r w:rsidRPr="00033D3E">
        <w:t xml:space="preserve"> og sendt inn svaret fikk han en bekreftelse fra Ferdig Hus sin database. </w:t>
      </w:r>
      <w:proofErr w:type="spellStart"/>
      <w:r w:rsidRPr="00033D3E">
        <w:t>Spørsmålet</w:t>
      </w:r>
      <w:proofErr w:type="spellEnd"/>
      <w:r w:rsidRPr="00033D3E">
        <w:t xml:space="preserve"> er om denne bekreftelsen kan gi Peder en «rimelig grunn» til å tro at bindende avtale er </w:t>
      </w:r>
      <w:proofErr w:type="spellStart"/>
      <w:r w:rsidRPr="00033D3E">
        <w:t>inngått</w:t>
      </w:r>
      <w:proofErr w:type="spellEnd"/>
      <w:r w:rsidRPr="00033D3E">
        <w:t xml:space="preserve">. </w:t>
      </w:r>
    </w:p>
    <w:p w14:paraId="4A5F1753" w14:textId="77777777" w:rsidR="00033D3E" w:rsidRPr="00033D3E" w:rsidRDefault="00033D3E" w:rsidP="00033D3E">
      <w:pPr>
        <w:pStyle w:val="NormalWeb"/>
        <w:spacing w:line="360" w:lineRule="auto"/>
      </w:pPr>
      <w:r w:rsidRPr="00033D3E">
        <w:t xml:space="preserve">Det følger av rettspraksis at om et utsagn skal anses som bindende </w:t>
      </w:r>
      <w:proofErr w:type="spellStart"/>
      <w:r w:rsidRPr="00033D3E">
        <w:t>ma</w:t>
      </w:r>
      <w:proofErr w:type="spellEnd"/>
      <w:r w:rsidRPr="00033D3E">
        <w:t xml:space="preserve">̊ det være klart og ubetinget, jf. </w:t>
      </w:r>
      <w:proofErr w:type="spellStart"/>
      <w:r w:rsidRPr="00033D3E">
        <w:t>EY</w:t>
      </w:r>
      <w:proofErr w:type="spellEnd"/>
      <w:r w:rsidRPr="00033D3E">
        <w:t xml:space="preserve">-dommen Rt. 2011 s. 410 avsnitt 69. </w:t>
      </w:r>
    </w:p>
    <w:p w14:paraId="3D0EA764" w14:textId="77777777" w:rsidR="00033D3E" w:rsidRPr="00033D3E" w:rsidRDefault="00033D3E" w:rsidP="00033D3E">
      <w:pPr>
        <w:pStyle w:val="NormalWeb"/>
        <w:spacing w:line="360" w:lineRule="auto"/>
      </w:pPr>
      <w:r w:rsidRPr="00033D3E">
        <w:t xml:space="preserve">Det er </w:t>
      </w:r>
      <w:proofErr w:type="spellStart"/>
      <w:r w:rsidRPr="00033D3E">
        <w:t>pa</w:t>
      </w:r>
      <w:proofErr w:type="spellEnd"/>
      <w:r w:rsidRPr="00033D3E">
        <w:t xml:space="preserve">̊ det rene Ferdighus sin bekreftelse er klar og ubetinget da det kommer frem at hans bestilling er bekreftet. Dette tilsier at det er </w:t>
      </w:r>
      <w:proofErr w:type="spellStart"/>
      <w:r w:rsidRPr="00033D3E">
        <w:t>registert</w:t>
      </w:r>
      <w:proofErr w:type="spellEnd"/>
      <w:r w:rsidRPr="00033D3E">
        <w:t xml:space="preserve"> og godtatt i systemets databaser. Dette taler i retning av at Peder har </w:t>
      </w:r>
      <w:proofErr w:type="spellStart"/>
      <w:r w:rsidRPr="00033D3E">
        <w:t>fått</w:t>
      </w:r>
      <w:proofErr w:type="spellEnd"/>
      <w:r w:rsidRPr="00033D3E">
        <w:t xml:space="preserve"> en rimelig grunn til å tro at det er </w:t>
      </w:r>
      <w:proofErr w:type="spellStart"/>
      <w:r w:rsidRPr="00033D3E">
        <w:t>inngått</w:t>
      </w:r>
      <w:proofErr w:type="spellEnd"/>
      <w:r w:rsidRPr="00033D3E">
        <w:t xml:space="preserve"> en bindende avtale. </w:t>
      </w:r>
    </w:p>
    <w:p w14:paraId="763871CE" w14:textId="77777777" w:rsidR="00033D3E" w:rsidRPr="00033D3E" w:rsidRDefault="00033D3E" w:rsidP="00033D3E">
      <w:pPr>
        <w:pStyle w:val="NormalWeb"/>
        <w:spacing w:line="360" w:lineRule="auto"/>
      </w:pPr>
      <w:r w:rsidRPr="00033D3E">
        <w:t xml:space="preserve">Videre er det mye omdiskutert i juridisk teori om </w:t>
      </w:r>
      <w:proofErr w:type="spellStart"/>
      <w:r w:rsidRPr="00033D3E">
        <w:t>når</w:t>
      </w:r>
      <w:proofErr w:type="spellEnd"/>
      <w:r w:rsidRPr="00033D3E">
        <w:t xml:space="preserve"> en digital avtale skal anses som </w:t>
      </w:r>
      <w:proofErr w:type="spellStart"/>
      <w:r w:rsidRPr="00033D3E">
        <w:t>inngått</w:t>
      </w:r>
      <w:proofErr w:type="spellEnd"/>
      <w:r w:rsidRPr="00033D3E">
        <w:t xml:space="preserve">. Det følger av faktum at det i denne saken ble sendt ut en helautomatisk bekreftelse </w:t>
      </w:r>
      <w:proofErr w:type="spellStart"/>
      <w:r w:rsidRPr="00033D3E">
        <w:t>pa</w:t>
      </w:r>
      <w:proofErr w:type="spellEnd"/>
      <w:r w:rsidRPr="00033D3E">
        <w:t xml:space="preserve">̊ avtalen. Det omtvistete innenfor dette </w:t>
      </w:r>
      <w:proofErr w:type="spellStart"/>
      <w:r w:rsidRPr="00033D3E">
        <w:t>spørsmålet</w:t>
      </w:r>
      <w:proofErr w:type="spellEnd"/>
      <w:r w:rsidRPr="00033D3E">
        <w:t xml:space="preserve"> er om det er tilstrekkelig at Peders bekreftelse er lagret i datasystemene til Ferdighus. </w:t>
      </w:r>
    </w:p>
    <w:p w14:paraId="6E72DACD" w14:textId="77777777" w:rsidR="00033D3E" w:rsidRPr="00033D3E" w:rsidRDefault="00033D3E" w:rsidP="00033D3E">
      <w:pPr>
        <w:pStyle w:val="NormalWeb"/>
        <w:spacing w:line="360" w:lineRule="auto"/>
      </w:pPr>
      <w:r w:rsidRPr="00033D3E">
        <w:t xml:space="preserve">Det følger av juridisk teori at om en nettside sender en ordrebekreftelse er dette tilstrekkelig for å anse avtalen som bindende. Dette er bindende selv om man ikke signerer noe. En ordrebekreftelse er i denne sammenhengen det samme som en </w:t>
      </w:r>
      <w:proofErr w:type="gramStart"/>
      <w:r w:rsidRPr="00033D3E">
        <w:t>bekreftelsesmail</w:t>
      </w:r>
      <w:proofErr w:type="gramEnd"/>
      <w:r w:rsidRPr="00033D3E">
        <w:t xml:space="preserve">. </w:t>
      </w:r>
    </w:p>
    <w:p w14:paraId="4740EB20" w14:textId="77777777" w:rsidR="00033D3E" w:rsidRPr="00033D3E" w:rsidRDefault="00033D3E" w:rsidP="00033D3E">
      <w:pPr>
        <w:pStyle w:val="NormalWeb"/>
        <w:spacing w:line="360" w:lineRule="auto"/>
      </w:pPr>
      <w:r w:rsidRPr="00033D3E">
        <w:t xml:space="preserve">Da Ferdig Hus her har valgt å inngå avtalen basert </w:t>
      </w:r>
      <w:proofErr w:type="spellStart"/>
      <w:r w:rsidRPr="00033D3E">
        <w:t>pa</w:t>
      </w:r>
      <w:proofErr w:type="spellEnd"/>
      <w:r w:rsidRPr="00033D3E">
        <w:t xml:space="preserve">̊ digitale systemer er det </w:t>
      </w:r>
      <w:proofErr w:type="spellStart"/>
      <w:r w:rsidRPr="00033D3E">
        <w:t>pa</w:t>
      </w:r>
      <w:proofErr w:type="spellEnd"/>
      <w:r w:rsidRPr="00033D3E">
        <w:t xml:space="preserve">̊ det rene at avtalen anses som </w:t>
      </w:r>
      <w:proofErr w:type="spellStart"/>
      <w:r w:rsidRPr="00033D3E">
        <w:t>inngått</w:t>
      </w:r>
      <w:proofErr w:type="spellEnd"/>
      <w:r w:rsidRPr="00033D3E">
        <w:t xml:space="preserve"> </w:t>
      </w:r>
      <w:proofErr w:type="spellStart"/>
      <w:r w:rsidRPr="00033D3E">
        <w:t>når</w:t>
      </w:r>
      <w:proofErr w:type="spellEnd"/>
      <w:r w:rsidRPr="00033D3E">
        <w:t xml:space="preserve"> det er lagret i deres systemer og de har sendt ut en bekreftelse. Dette følger av hensyn til den andre parten og forutberegnelighet. </w:t>
      </w:r>
    </w:p>
    <w:p w14:paraId="2088FFD2" w14:textId="77777777" w:rsidR="00033D3E" w:rsidRPr="00033D3E" w:rsidRDefault="00033D3E" w:rsidP="00033D3E">
      <w:pPr>
        <w:pStyle w:val="NormalWeb"/>
        <w:spacing w:line="360" w:lineRule="auto"/>
      </w:pPr>
      <w:r w:rsidRPr="00033D3E">
        <w:t xml:space="preserve">Da bekreftelses e-posten er å anse som en aksept til Peders tilbud, trekker i retning av at Peder har </w:t>
      </w:r>
      <w:proofErr w:type="spellStart"/>
      <w:r w:rsidRPr="00033D3E">
        <w:t>fått</w:t>
      </w:r>
      <w:proofErr w:type="spellEnd"/>
      <w:r w:rsidRPr="00033D3E">
        <w:t xml:space="preserve"> en rimelig grunn til å tro at bindende avtale er </w:t>
      </w:r>
      <w:proofErr w:type="spellStart"/>
      <w:r w:rsidRPr="00033D3E">
        <w:t>inngått</w:t>
      </w:r>
      <w:proofErr w:type="spellEnd"/>
      <w:r w:rsidRPr="00033D3E">
        <w:t xml:space="preserve">. </w:t>
      </w:r>
    </w:p>
    <w:p w14:paraId="42CAE2EC" w14:textId="77777777" w:rsidR="00033D3E" w:rsidRPr="00033D3E" w:rsidRDefault="00033D3E" w:rsidP="00033D3E">
      <w:pPr>
        <w:pStyle w:val="NormalWeb"/>
        <w:spacing w:line="360" w:lineRule="auto"/>
      </w:pPr>
      <w:r w:rsidRPr="00033D3E">
        <w:t xml:space="preserve">Videre er det </w:t>
      </w:r>
      <w:proofErr w:type="spellStart"/>
      <w:r w:rsidRPr="00033D3E">
        <w:t>ogsa</w:t>
      </w:r>
      <w:proofErr w:type="spellEnd"/>
      <w:r w:rsidRPr="00033D3E">
        <w:t xml:space="preserve">̊ er </w:t>
      </w:r>
      <w:proofErr w:type="spellStart"/>
      <w:r w:rsidRPr="00033D3E">
        <w:t>vilkår</w:t>
      </w:r>
      <w:proofErr w:type="spellEnd"/>
      <w:r w:rsidRPr="00033D3E">
        <w:t xml:space="preserve"> for om en avtale anses som bindende og </w:t>
      </w:r>
      <w:proofErr w:type="spellStart"/>
      <w:r w:rsidRPr="00033D3E">
        <w:t>inngått</w:t>
      </w:r>
      <w:proofErr w:type="spellEnd"/>
      <w:r w:rsidRPr="00033D3E">
        <w:t xml:space="preserve"> at det foreligger enighet om vesentlige punkter, jf. Hotell-dommen og Vinagent-dommen. </w:t>
      </w:r>
    </w:p>
    <w:p w14:paraId="7C704415" w14:textId="77777777" w:rsidR="00033D3E" w:rsidRPr="00033D3E" w:rsidRDefault="00033D3E" w:rsidP="00033D3E">
      <w:pPr>
        <w:pStyle w:val="NormalWeb"/>
        <w:spacing w:line="360" w:lineRule="auto"/>
      </w:pPr>
      <w:r w:rsidRPr="00033D3E">
        <w:t xml:space="preserve">Hva som er å anse som vesentlige punkter vil variere ut ifra hvilken type avtale som er </w:t>
      </w:r>
      <w:proofErr w:type="spellStart"/>
      <w:r w:rsidRPr="00033D3E">
        <w:t>inngått</w:t>
      </w:r>
      <w:proofErr w:type="spellEnd"/>
      <w:r w:rsidRPr="00033D3E">
        <w:t xml:space="preserve">. </w:t>
      </w:r>
    </w:p>
    <w:p w14:paraId="79F0DD5A" w14:textId="77777777" w:rsidR="00033D3E" w:rsidRPr="00033D3E" w:rsidRDefault="00033D3E" w:rsidP="00033D3E">
      <w:pPr>
        <w:pStyle w:val="NormalWeb"/>
        <w:spacing w:line="360" w:lineRule="auto"/>
      </w:pPr>
      <w:commentRangeStart w:id="17"/>
      <w:r w:rsidRPr="00033D3E">
        <w:t xml:space="preserve">I </w:t>
      </w:r>
      <w:proofErr w:type="spellStart"/>
      <w:r w:rsidRPr="00033D3E">
        <w:t>EY</w:t>
      </w:r>
      <w:proofErr w:type="spellEnd"/>
      <w:r w:rsidRPr="00033D3E">
        <w:t xml:space="preserve">-dommen av </w:t>
      </w:r>
      <w:proofErr w:type="spellStart"/>
      <w:r w:rsidRPr="00033D3E">
        <w:t>rt</w:t>
      </w:r>
      <w:proofErr w:type="spellEnd"/>
      <w:r w:rsidRPr="00033D3E">
        <w:t xml:space="preserve">. 2011 s. 410 avsnitt 47, ble det uttalt at realytelsen og pris er punkter som er å anse som svært vesentlige. Dette ble </w:t>
      </w:r>
      <w:proofErr w:type="spellStart"/>
      <w:r w:rsidRPr="00033D3E">
        <w:t>ogsa</w:t>
      </w:r>
      <w:proofErr w:type="spellEnd"/>
      <w:r w:rsidRPr="00033D3E">
        <w:t xml:space="preserve">̊ støttet i Sveen dommen </w:t>
      </w:r>
      <w:proofErr w:type="spellStart"/>
      <w:r w:rsidRPr="00033D3E">
        <w:t>rt</w:t>
      </w:r>
      <w:proofErr w:type="spellEnd"/>
      <w:r w:rsidRPr="00033D3E">
        <w:t xml:space="preserve">. 1985 s. 1256 </w:t>
      </w:r>
      <w:proofErr w:type="spellStart"/>
      <w:r w:rsidRPr="00033D3E">
        <w:t>pa</w:t>
      </w:r>
      <w:proofErr w:type="spellEnd"/>
      <w:r w:rsidRPr="00033D3E">
        <w:t xml:space="preserve">̊ side 1269-1270. </w:t>
      </w:r>
    </w:p>
    <w:p w14:paraId="2868AC20" w14:textId="77777777" w:rsidR="00033D3E" w:rsidRPr="00033D3E" w:rsidRDefault="00033D3E" w:rsidP="00033D3E">
      <w:pPr>
        <w:pStyle w:val="NormalWeb"/>
        <w:spacing w:line="360" w:lineRule="auto"/>
      </w:pPr>
      <w:r w:rsidRPr="00033D3E">
        <w:t xml:space="preserve">Sveen-dommen var det </w:t>
      </w:r>
      <w:proofErr w:type="spellStart"/>
      <w:r w:rsidRPr="00033D3E">
        <w:t>spørsmål</w:t>
      </w:r>
      <w:proofErr w:type="spellEnd"/>
      <w:r w:rsidRPr="00033D3E">
        <w:t xml:space="preserve"> om en muntlig avtale var ansett </w:t>
      </w:r>
      <w:proofErr w:type="spellStart"/>
      <w:r w:rsidRPr="00033D3E">
        <w:t>inngått</w:t>
      </w:r>
      <w:proofErr w:type="spellEnd"/>
      <w:r w:rsidRPr="00033D3E">
        <w:t xml:space="preserve">. HR fant at det ikke var nærliggende at de hadde blitt enige om kostnader og at betalings- og overtakelsestidspunkt, samt </w:t>
      </w:r>
      <w:proofErr w:type="spellStart"/>
      <w:r w:rsidRPr="00033D3E">
        <w:t>oppgjørsmåte</w:t>
      </w:r>
      <w:proofErr w:type="spellEnd"/>
      <w:r w:rsidRPr="00033D3E">
        <w:t xml:space="preserve">. </w:t>
      </w:r>
    </w:p>
    <w:p w14:paraId="52A006CA" w14:textId="77777777" w:rsidR="00033D3E" w:rsidRPr="00033D3E" w:rsidRDefault="00033D3E" w:rsidP="00033D3E">
      <w:pPr>
        <w:pStyle w:val="NormalWeb"/>
        <w:spacing w:line="360" w:lineRule="auto"/>
      </w:pPr>
      <w:r w:rsidRPr="00033D3E">
        <w:t xml:space="preserve">I denne saken vil de vesentlige punkter for </w:t>
      </w:r>
      <w:proofErr w:type="spellStart"/>
      <w:r w:rsidRPr="00033D3E">
        <w:t>inngått</w:t>
      </w:r>
      <w:proofErr w:type="spellEnd"/>
      <w:r w:rsidRPr="00033D3E">
        <w:t xml:space="preserve"> avtale være realytelse, pris, leveringstidspunkt og interiør. </w:t>
      </w:r>
      <w:commentRangeEnd w:id="17"/>
      <w:r w:rsidR="00EB355C">
        <w:rPr>
          <w:rStyle w:val="Merknadsreferanse"/>
          <w:rFonts w:asciiTheme="minorHAnsi" w:eastAsiaTheme="minorHAnsi" w:hAnsiTheme="minorHAnsi" w:cstheme="minorBidi"/>
          <w:lang w:eastAsia="en-US"/>
        </w:rPr>
        <w:commentReference w:id="17"/>
      </w:r>
    </w:p>
    <w:p w14:paraId="364BC93A" w14:textId="77777777" w:rsidR="00033D3E" w:rsidRPr="00033D3E" w:rsidRDefault="00033D3E" w:rsidP="00033D3E">
      <w:pPr>
        <w:pStyle w:val="NormalWeb"/>
        <w:spacing w:line="360" w:lineRule="auto"/>
      </w:pPr>
      <w:r w:rsidRPr="00033D3E">
        <w:t xml:space="preserve">Det følger av faktum at Peder krysse av og svare </w:t>
      </w:r>
      <w:proofErr w:type="spellStart"/>
      <w:r w:rsidRPr="00033D3E">
        <w:t>pa</w:t>
      </w:r>
      <w:proofErr w:type="spellEnd"/>
      <w:r w:rsidRPr="00033D3E">
        <w:t xml:space="preserve">̊ punkter knyttet til alle disse </w:t>
      </w:r>
      <w:proofErr w:type="spellStart"/>
      <w:r w:rsidRPr="00033D3E">
        <w:t>spørsmålene</w:t>
      </w:r>
      <w:proofErr w:type="spellEnd"/>
      <w:r w:rsidRPr="00033D3E">
        <w:t xml:space="preserve"> før han sendte inn skjemaet. Da det ovenfor ble avklart at bekreftelsen han fikk etter han sendte inn skjemaet var å anse som et utrykk for bindende avtale er det </w:t>
      </w:r>
      <w:proofErr w:type="spellStart"/>
      <w:r w:rsidRPr="00033D3E">
        <w:t>pa</w:t>
      </w:r>
      <w:proofErr w:type="spellEnd"/>
      <w:r w:rsidRPr="00033D3E">
        <w:t xml:space="preserve">̊ det rene at de var enige om de vesentlige punkter. </w:t>
      </w:r>
    </w:p>
    <w:p w14:paraId="147386C5" w14:textId="77777777" w:rsidR="00033D3E" w:rsidRPr="00033D3E" w:rsidRDefault="00033D3E" w:rsidP="00033D3E">
      <w:pPr>
        <w:pStyle w:val="NormalWeb"/>
        <w:spacing w:line="360" w:lineRule="auto"/>
      </w:pPr>
      <w:r w:rsidRPr="00033D3E">
        <w:t xml:space="preserve">Da Peder fikk en bekreftelse </w:t>
      </w:r>
      <w:proofErr w:type="spellStart"/>
      <w:r w:rsidRPr="00033D3E">
        <w:t>pa</w:t>
      </w:r>
      <w:proofErr w:type="spellEnd"/>
      <w:r w:rsidRPr="00033D3E">
        <w:t xml:space="preserve">̊ </w:t>
      </w:r>
      <w:proofErr w:type="gramStart"/>
      <w:r w:rsidRPr="00033D3E">
        <w:t>mail</w:t>
      </w:r>
      <w:proofErr w:type="gramEnd"/>
      <w:r w:rsidRPr="00033D3E">
        <w:t xml:space="preserve"> og de var enige om vesentlige punkter er det </w:t>
      </w:r>
      <w:proofErr w:type="spellStart"/>
      <w:r w:rsidRPr="00033D3E">
        <w:t>pa</w:t>
      </w:r>
      <w:proofErr w:type="spellEnd"/>
      <w:r w:rsidRPr="00033D3E">
        <w:t xml:space="preserve">̊ det rene at Peder har </w:t>
      </w:r>
      <w:proofErr w:type="spellStart"/>
      <w:r w:rsidRPr="00033D3E">
        <w:t>fått</w:t>
      </w:r>
      <w:proofErr w:type="spellEnd"/>
      <w:r w:rsidRPr="00033D3E">
        <w:t xml:space="preserve"> en rimelig grunn til å tro at bindende avtale er </w:t>
      </w:r>
      <w:proofErr w:type="spellStart"/>
      <w:r w:rsidRPr="00033D3E">
        <w:t>inngått</w:t>
      </w:r>
      <w:proofErr w:type="spellEnd"/>
      <w:r w:rsidRPr="00033D3E">
        <w:t xml:space="preserve"> mellom partene. Her vektlegges det sterkest at Ferdig Hus sendte ut en bekreftelse til Peder. </w:t>
      </w:r>
    </w:p>
    <w:p w14:paraId="2F05FF18" w14:textId="77777777" w:rsidR="00033D3E" w:rsidRPr="00033D3E" w:rsidRDefault="00033D3E" w:rsidP="00033D3E">
      <w:pPr>
        <w:pStyle w:val="NormalWeb"/>
        <w:spacing w:line="360" w:lineRule="auto"/>
        <w:rPr>
          <w:u w:val="single"/>
        </w:rPr>
      </w:pPr>
      <w:commentRangeStart w:id="18"/>
      <w:r w:rsidRPr="00033D3E">
        <w:rPr>
          <w:u w:val="single"/>
        </w:rPr>
        <w:t xml:space="preserve">Konklusjon: det er </w:t>
      </w:r>
      <w:proofErr w:type="spellStart"/>
      <w:r w:rsidRPr="00033D3E">
        <w:rPr>
          <w:u w:val="single"/>
        </w:rPr>
        <w:t>inngått</w:t>
      </w:r>
      <w:proofErr w:type="spellEnd"/>
      <w:r w:rsidRPr="00033D3E">
        <w:rPr>
          <w:u w:val="single"/>
        </w:rPr>
        <w:t xml:space="preserve"> bindende avtale mellom Snekker ENS og Ferdig Hus. </w:t>
      </w:r>
      <w:commentRangeEnd w:id="18"/>
      <w:r w:rsidR="00F64CEB">
        <w:rPr>
          <w:rStyle w:val="Merknadsreferanse"/>
          <w:rFonts w:asciiTheme="minorHAnsi" w:eastAsiaTheme="minorHAnsi" w:hAnsiTheme="minorHAnsi" w:cstheme="minorBidi"/>
          <w:lang w:eastAsia="en-US"/>
        </w:rPr>
        <w:commentReference w:id="18"/>
      </w:r>
    </w:p>
    <w:p w14:paraId="5709CEAD" w14:textId="77777777" w:rsidR="00033D3E" w:rsidRDefault="00033D3E" w:rsidP="00033D3E">
      <w:pPr>
        <w:rPr>
          <w:rFonts w:ascii="Times New Roman" w:hAnsi="Times New Roman" w:cs="Times New Roman"/>
          <w:color w:val="A6A6A6" w:themeColor="background1" w:themeShade="A6"/>
        </w:rPr>
      </w:pPr>
    </w:p>
    <w:p w14:paraId="037D4EAB" w14:textId="77777777" w:rsidR="00033D3E" w:rsidRDefault="00033D3E" w:rsidP="00033D3E">
      <w:pPr>
        <w:rPr>
          <w:rFonts w:ascii="Times New Roman" w:hAnsi="Times New Roman" w:cs="Times New Roman"/>
          <w:color w:val="A6A6A6" w:themeColor="background1" w:themeShade="A6"/>
        </w:rPr>
      </w:pPr>
    </w:p>
    <w:p w14:paraId="6AD4D0C0" w14:textId="2E4AB7E3" w:rsidR="00033D3E" w:rsidRDefault="00033D3E" w:rsidP="00033D3E">
      <w:pPr>
        <w:rPr>
          <w:rFonts w:ascii="Times New Roman" w:hAnsi="Times New Roman" w:cs="Times New Roman"/>
          <w:color w:val="A6A6A6" w:themeColor="background1" w:themeShade="A6"/>
        </w:rPr>
      </w:pPr>
      <w:r w:rsidRPr="00033D3E">
        <w:rPr>
          <w:rFonts w:ascii="Times New Roman" w:hAnsi="Times New Roman" w:cs="Times New Roman"/>
          <w:color w:val="A6A6A6" w:themeColor="background1" w:themeShade="A6"/>
        </w:rPr>
        <w:t>Spørsmål b) Drøft Ferdighus AS sine mulige grunnlag for å ikke være bundet til den gamle avtalens pris med Snekker ENK?</w:t>
      </w:r>
    </w:p>
    <w:p w14:paraId="13A83B1C" w14:textId="37F0661B" w:rsidR="00033D3E" w:rsidRDefault="00033D3E" w:rsidP="00033D3E">
      <w:pPr>
        <w:rPr>
          <w:rFonts w:ascii="Times New Roman" w:hAnsi="Times New Roman" w:cs="Times New Roman"/>
          <w:color w:val="A6A6A6" w:themeColor="background1" w:themeShade="A6"/>
        </w:rPr>
      </w:pPr>
    </w:p>
    <w:p w14:paraId="1FD1F9E2" w14:textId="77777777" w:rsidR="00033D3E" w:rsidRPr="00033D3E" w:rsidRDefault="00033D3E" w:rsidP="00033D3E">
      <w:pPr>
        <w:pStyle w:val="NormalWeb"/>
        <w:spacing w:line="360" w:lineRule="auto"/>
      </w:pPr>
      <w:commentRangeStart w:id="19"/>
      <w:r w:rsidRPr="00033D3E">
        <w:t xml:space="preserve">Selv om det ble </w:t>
      </w:r>
      <w:proofErr w:type="spellStart"/>
      <w:r w:rsidRPr="00033D3E">
        <w:t>inngått</w:t>
      </w:r>
      <w:proofErr w:type="spellEnd"/>
      <w:r w:rsidRPr="00033D3E">
        <w:t xml:space="preserve"> bindende avtale </w:t>
      </w:r>
      <w:proofErr w:type="spellStart"/>
      <w:r w:rsidRPr="00033D3E">
        <w:t>melllom</w:t>
      </w:r>
      <w:proofErr w:type="spellEnd"/>
      <w:r w:rsidRPr="00033D3E">
        <w:t xml:space="preserve"> partene jf. </w:t>
      </w:r>
      <w:proofErr w:type="spellStart"/>
      <w:r w:rsidRPr="00033D3E">
        <w:t>spørsmål</w:t>
      </w:r>
      <w:proofErr w:type="spellEnd"/>
      <w:r w:rsidRPr="00033D3E">
        <w:t xml:space="preserve"> a), mener Ferdighus AS at de kan anse seg ubundet </w:t>
      </w:r>
      <w:proofErr w:type="spellStart"/>
      <w:r w:rsidRPr="00033D3E">
        <w:t>pa</w:t>
      </w:r>
      <w:proofErr w:type="spellEnd"/>
      <w:r w:rsidRPr="00033D3E">
        <w:t xml:space="preserve">̊ grunn av feil med prisen </w:t>
      </w:r>
      <w:proofErr w:type="spellStart"/>
      <w:r w:rsidRPr="00033D3E">
        <w:t>pa</w:t>
      </w:r>
      <w:proofErr w:type="spellEnd"/>
      <w:r w:rsidRPr="00033D3E">
        <w:t xml:space="preserve">̊ nettsiden. Peder motsier seg dette og mener den gamle prisen er gjeldende. </w:t>
      </w:r>
      <w:commentRangeEnd w:id="19"/>
      <w:r w:rsidR="0040266E">
        <w:rPr>
          <w:rStyle w:val="Merknadsreferanse"/>
          <w:rFonts w:asciiTheme="minorHAnsi" w:eastAsiaTheme="minorHAnsi" w:hAnsiTheme="minorHAnsi" w:cstheme="minorBidi"/>
          <w:lang w:eastAsia="en-US"/>
        </w:rPr>
        <w:commentReference w:id="19"/>
      </w:r>
    </w:p>
    <w:p w14:paraId="556C035B" w14:textId="77777777" w:rsidR="00033D3E" w:rsidRPr="00033D3E" w:rsidRDefault="00033D3E" w:rsidP="00033D3E">
      <w:pPr>
        <w:pStyle w:val="NormalWeb"/>
        <w:spacing w:line="360" w:lineRule="auto"/>
      </w:pPr>
      <w:r w:rsidRPr="00033D3E">
        <w:t xml:space="preserve">Det overordnende </w:t>
      </w:r>
      <w:proofErr w:type="spellStart"/>
      <w:r w:rsidRPr="00033D3E">
        <w:t>spørsmålet</w:t>
      </w:r>
      <w:proofErr w:type="spellEnd"/>
      <w:r w:rsidRPr="00033D3E">
        <w:t xml:space="preserve"> er hvilke muligheter Ferdighus AS har for å ikke anse seg som bundet av prisen i den gamle avtalen med Snekker ENS. </w:t>
      </w:r>
    </w:p>
    <w:p w14:paraId="2BC99300" w14:textId="77777777" w:rsidR="00033D3E" w:rsidRPr="00033D3E" w:rsidRDefault="00033D3E" w:rsidP="00033D3E">
      <w:pPr>
        <w:pStyle w:val="NormalWeb"/>
        <w:spacing w:line="360" w:lineRule="auto"/>
      </w:pPr>
      <w:r w:rsidRPr="00033D3E">
        <w:t xml:space="preserve">Det følger av det rettslige utgangspunktet i avtaleloven at avtaler skal holdes slik som de er </w:t>
      </w:r>
      <w:proofErr w:type="spellStart"/>
      <w:r w:rsidRPr="00033D3E">
        <w:t>inngått</w:t>
      </w:r>
      <w:proofErr w:type="spellEnd"/>
      <w:r w:rsidRPr="00033D3E">
        <w:t xml:space="preserve">, jf. NL 5-1-1. det er derimot </w:t>
      </w:r>
      <w:proofErr w:type="spellStart"/>
      <w:r w:rsidRPr="00033D3E">
        <w:t>åpnet</w:t>
      </w:r>
      <w:proofErr w:type="spellEnd"/>
      <w:r w:rsidRPr="00033D3E">
        <w:t xml:space="preserve"> for noen unntak til det rettslige utgangspunktet i avtalelovens (avtl.) tredje kapittel. </w:t>
      </w:r>
      <w:proofErr w:type="spellStart"/>
      <w:r w:rsidRPr="00033D3E">
        <w:t>Spørsmålet</w:t>
      </w:r>
      <w:proofErr w:type="spellEnd"/>
      <w:r w:rsidRPr="00033D3E">
        <w:t xml:space="preserve"> blir dermed om </w:t>
      </w:r>
      <w:proofErr w:type="spellStart"/>
      <w:r w:rsidRPr="00033D3E">
        <w:t>Om</w:t>
      </w:r>
      <w:proofErr w:type="spellEnd"/>
      <w:r w:rsidRPr="00033D3E">
        <w:t xml:space="preserve"> Ferdighus kan vinne frem med sin anførsel etter bestemmelser i avtaleloven. </w:t>
      </w:r>
    </w:p>
    <w:p w14:paraId="6F1931C7" w14:textId="77777777" w:rsidR="00033D3E" w:rsidRPr="00033D3E" w:rsidRDefault="00033D3E" w:rsidP="00033D3E">
      <w:pPr>
        <w:pStyle w:val="NormalWeb"/>
        <w:spacing w:line="360" w:lineRule="auto"/>
      </w:pPr>
      <w:commentRangeStart w:id="20"/>
      <w:r w:rsidRPr="00033D3E">
        <w:t xml:space="preserve">Avtaleloven kommer i foreliggende sak til anvendelse da det ikke er avtalt noe annet mellom partene. </w:t>
      </w:r>
      <w:commentRangeEnd w:id="20"/>
      <w:r w:rsidR="00D80363">
        <w:rPr>
          <w:rStyle w:val="Merknadsreferanse"/>
          <w:rFonts w:asciiTheme="minorHAnsi" w:eastAsiaTheme="minorHAnsi" w:hAnsiTheme="minorHAnsi" w:cstheme="minorBidi"/>
          <w:lang w:eastAsia="en-US"/>
        </w:rPr>
        <w:commentReference w:id="20"/>
      </w:r>
    </w:p>
    <w:p w14:paraId="349783C6" w14:textId="77777777" w:rsidR="00033D3E" w:rsidRPr="00033D3E" w:rsidRDefault="00033D3E" w:rsidP="00033D3E">
      <w:pPr>
        <w:pStyle w:val="NormalWeb"/>
        <w:spacing w:line="360" w:lineRule="auto"/>
      </w:pPr>
      <w:commentRangeStart w:id="21"/>
      <w:r w:rsidRPr="00033D3E">
        <w:t xml:space="preserve">Selv om avtalelovens tredje kapittel oppstiller flere ugyldighetsgrunner, vil det i foreliggende sak være naturlig å se </w:t>
      </w:r>
      <w:proofErr w:type="spellStart"/>
      <w:r w:rsidRPr="00033D3E">
        <w:t>pa</w:t>
      </w:r>
      <w:proofErr w:type="spellEnd"/>
      <w:r w:rsidRPr="00033D3E">
        <w:t xml:space="preserve">̊ ugyldighetsgrunnen etter § 32 for «feilskrift og annen feiltagelse», samt lemping etter § 36. </w:t>
      </w:r>
      <w:commentRangeEnd w:id="21"/>
      <w:r w:rsidR="000F456D">
        <w:rPr>
          <w:rStyle w:val="Merknadsreferanse"/>
          <w:rFonts w:asciiTheme="minorHAnsi" w:eastAsiaTheme="minorHAnsi" w:hAnsiTheme="minorHAnsi" w:cstheme="minorBidi"/>
          <w:lang w:eastAsia="en-US"/>
        </w:rPr>
        <w:commentReference w:id="21"/>
      </w:r>
    </w:p>
    <w:p w14:paraId="33A70CBC" w14:textId="77777777" w:rsidR="00033D3E" w:rsidRPr="00033D3E" w:rsidRDefault="00033D3E" w:rsidP="00033D3E">
      <w:pPr>
        <w:pStyle w:val="NormalWeb"/>
        <w:spacing w:line="360" w:lineRule="auto"/>
      </w:pPr>
      <w:r w:rsidRPr="00033D3E">
        <w:t xml:space="preserve">Det første </w:t>
      </w:r>
      <w:proofErr w:type="spellStart"/>
      <w:r w:rsidRPr="00033D3E">
        <w:t>spørsmålet</w:t>
      </w:r>
      <w:proofErr w:type="spellEnd"/>
      <w:r w:rsidRPr="00033D3E">
        <w:t xml:space="preserve"> blir dermed om avtalen kan anses som ugyldig etter avtl. § 32 første ledd. </w:t>
      </w:r>
    </w:p>
    <w:p w14:paraId="2AA05EEA" w14:textId="77777777" w:rsidR="00033D3E" w:rsidRPr="00033D3E" w:rsidRDefault="00033D3E" w:rsidP="00033D3E">
      <w:pPr>
        <w:pStyle w:val="NormalWeb"/>
        <w:spacing w:line="360" w:lineRule="auto"/>
      </w:pPr>
      <w:commentRangeStart w:id="22"/>
      <w:r w:rsidRPr="00033D3E">
        <w:t xml:space="preserve">Her </w:t>
      </w:r>
      <w:proofErr w:type="spellStart"/>
      <w:r w:rsidRPr="00033D3E">
        <w:t>ma</w:t>
      </w:r>
      <w:proofErr w:type="spellEnd"/>
      <w:r w:rsidRPr="00033D3E">
        <w:t xml:space="preserve">̊ det legges til grunn at avtaleloven er teknologinøytral. At avtaleloven er teknologinøytral betyr at avtalen anses som like bindende om den er </w:t>
      </w:r>
      <w:proofErr w:type="spellStart"/>
      <w:r w:rsidRPr="00033D3E">
        <w:t>inngått</w:t>
      </w:r>
      <w:proofErr w:type="spellEnd"/>
      <w:r w:rsidRPr="00033D3E">
        <w:t xml:space="preserve"> ved digital </w:t>
      </w:r>
      <w:proofErr w:type="spellStart"/>
      <w:r w:rsidRPr="00033D3E">
        <w:t>avtaleinngåelse</w:t>
      </w:r>
      <w:proofErr w:type="spellEnd"/>
      <w:r w:rsidRPr="00033D3E">
        <w:t xml:space="preserve"> som skriftlig eller muntlig. </w:t>
      </w:r>
      <w:commentRangeEnd w:id="22"/>
      <w:r w:rsidR="00C13DD4">
        <w:rPr>
          <w:rStyle w:val="Merknadsreferanse"/>
          <w:rFonts w:asciiTheme="minorHAnsi" w:eastAsiaTheme="minorHAnsi" w:hAnsiTheme="minorHAnsi" w:cstheme="minorBidi"/>
          <w:lang w:eastAsia="en-US"/>
        </w:rPr>
        <w:commentReference w:id="22"/>
      </w:r>
    </w:p>
    <w:p w14:paraId="65660FF2" w14:textId="77777777" w:rsidR="00033D3E" w:rsidRPr="00033D3E" w:rsidRDefault="00033D3E" w:rsidP="00033D3E">
      <w:pPr>
        <w:pStyle w:val="NormalWeb"/>
        <w:spacing w:line="360" w:lineRule="auto"/>
      </w:pPr>
      <w:r w:rsidRPr="00033D3E">
        <w:t xml:space="preserve">I avtalelovens § 32 fremkommer det at </w:t>
      </w:r>
      <w:proofErr w:type="spellStart"/>
      <w:r w:rsidRPr="00033D3E">
        <w:t>når</w:t>
      </w:r>
      <w:proofErr w:type="spellEnd"/>
      <w:r w:rsidRPr="00033D3E">
        <w:t xml:space="preserve"> den som har gitt en "viljeserklæring" har gjort at det har </w:t>
      </w:r>
      <w:proofErr w:type="spellStart"/>
      <w:r w:rsidRPr="00033D3E">
        <w:t>oppstått</w:t>
      </w:r>
      <w:proofErr w:type="spellEnd"/>
      <w:r w:rsidRPr="00033D3E">
        <w:t xml:space="preserve"> "feilskrift" eller "annen feiltagelse", vil den ikke være bundet om den andre parten «</w:t>
      </w:r>
      <w:proofErr w:type="spellStart"/>
      <w:r w:rsidRPr="00033D3E">
        <w:t>indsaa</w:t>
      </w:r>
      <w:proofErr w:type="spellEnd"/>
      <w:r w:rsidRPr="00033D3E">
        <w:t xml:space="preserve">» eller «burde </w:t>
      </w:r>
      <w:proofErr w:type="spellStart"/>
      <w:r w:rsidRPr="00033D3E">
        <w:t>indse</w:t>
      </w:r>
      <w:proofErr w:type="spellEnd"/>
      <w:r w:rsidRPr="00033D3E">
        <w:t xml:space="preserve">» at slik feiltagelse forelå. Dette er dermed en svak ugyldighetsgrunn, som beror </w:t>
      </w:r>
      <w:proofErr w:type="spellStart"/>
      <w:r w:rsidRPr="00033D3E">
        <w:t>pa</w:t>
      </w:r>
      <w:proofErr w:type="spellEnd"/>
      <w:r w:rsidRPr="00033D3E">
        <w:t xml:space="preserve">̊ motpartens gode tro. </w:t>
      </w:r>
    </w:p>
    <w:p w14:paraId="177EA80F" w14:textId="77777777" w:rsidR="00033D3E" w:rsidRPr="00033D3E" w:rsidRDefault="00033D3E" w:rsidP="00033D3E">
      <w:pPr>
        <w:pStyle w:val="NormalWeb"/>
        <w:spacing w:line="360" w:lineRule="auto"/>
      </w:pPr>
      <w:r w:rsidRPr="00033D3E">
        <w:t xml:space="preserve">Virkningen av at en avtale stilles ugyldig etter § 32 vil være at avtalen blir satt til side og partene blir stilt som om avtalen ikke hadde blitt </w:t>
      </w:r>
      <w:proofErr w:type="spellStart"/>
      <w:r w:rsidRPr="00033D3E">
        <w:t>inngått</w:t>
      </w:r>
      <w:proofErr w:type="spellEnd"/>
      <w:r w:rsidRPr="00033D3E">
        <w:t xml:space="preserve">. I foreliggende tilfelle vil det bety at avtalen om kjøp av hus ikke er </w:t>
      </w:r>
      <w:proofErr w:type="spellStart"/>
      <w:r w:rsidRPr="00033D3E">
        <w:t>inngått</w:t>
      </w:r>
      <w:proofErr w:type="spellEnd"/>
      <w:r w:rsidRPr="00033D3E">
        <w:t xml:space="preserve">. </w:t>
      </w:r>
    </w:p>
    <w:p w14:paraId="04E6452E" w14:textId="77777777" w:rsidR="00033D3E" w:rsidRPr="00033D3E" w:rsidRDefault="00033D3E" w:rsidP="00033D3E">
      <w:pPr>
        <w:pStyle w:val="NormalWeb"/>
        <w:spacing w:line="360" w:lineRule="auto"/>
      </w:pPr>
      <w:commentRangeStart w:id="23"/>
      <w:r w:rsidRPr="00033D3E">
        <w:t xml:space="preserve">En naturlig </w:t>
      </w:r>
      <w:proofErr w:type="spellStart"/>
      <w:r w:rsidRPr="00033D3E">
        <w:t>språklig</w:t>
      </w:r>
      <w:proofErr w:type="spellEnd"/>
      <w:r w:rsidRPr="00033D3E">
        <w:t xml:space="preserve"> </w:t>
      </w:r>
      <w:proofErr w:type="spellStart"/>
      <w:r w:rsidRPr="00033D3E">
        <w:t>forståelse</w:t>
      </w:r>
      <w:proofErr w:type="spellEnd"/>
      <w:r w:rsidRPr="00033D3E">
        <w:t xml:space="preserve"> av «viljeserklæring» tilsier at parten har gitt et utrykk for at den vil binde seg. Det er </w:t>
      </w:r>
      <w:proofErr w:type="spellStart"/>
      <w:r w:rsidRPr="00033D3E">
        <w:t>pa</w:t>
      </w:r>
      <w:proofErr w:type="spellEnd"/>
      <w:r w:rsidRPr="00033D3E">
        <w:t xml:space="preserve">̊ det rene at Ferdighus i foreliggende sak har </w:t>
      </w:r>
      <w:proofErr w:type="spellStart"/>
      <w:r w:rsidRPr="00033D3E">
        <w:t>avgit</w:t>
      </w:r>
      <w:proofErr w:type="spellEnd"/>
      <w:r w:rsidRPr="00033D3E">
        <w:t xml:space="preserve"> en «viljeserklæring» da de har lagt ut hus </w:t>
      </w:r>
      <w:proofErr w:type="spellStart"/>
      <w:r w:rsidRPr="00033D3E">
        <w:t>pa</w:t>
      </w:r>
      <w:proofErr w:type="spellEnd"/>
      <w:r w:rsidRPr="00033D3E">
        <w:t xml:space="preserve">̊ sin nettside. </w:t>
      </w:r>
      <w:proofErr w:type="spellStart"/>
      <w:r w:rsidRPr="00033D3E">
        <w:t>Vilkåret</w:t>
      </w:r>
      <w:proofErr w:type="spellEnd"/>
      <w:r w:rsidRPr="00033D3E">
        <w:t xml:space="preserve"> anses dermed som </w:t>
      </w:r>
      <w:proofErr w:type="spellStart"/>
      <w:r w:rsidRPr="00033D3E">
        <w:t>oppfyllt</w:t>
      </w:r>
      <w:proofErr w:type="spellEnd"/>
      <w:r w:rsidRPr="00033D3E">
        <w:t xml:space="preserve">. </w:t>
      </w:r>
      <w:commentRangeEnd w:id="23"/>
      <w:r w:rsidR="00842BEF">
        <w:rPr>
          <w:rStyle w:val="Merknadsreferanse"/>
          <w:rFonts w:asciiTheme="minorHAnsi" w:eastAsiaTheme="minorHAnsi" w:hAnsiTheme="minorHAnsi" w:cstheme="minorBidi"/>
          <w:lang w:eastAsia="en-US"/>
        </w:rPr>
        <w:commentReference w:id="23"/>
      </w:r>
    </w:p>
    <w:p w14:paraId="10F8AEE2" w14:textId="77777777" w:rsidR="00033D3E" w:rsidRPr="00033D3E" w:rsidRDefault="00033D3E" w:rsidP="00033D3E">
      <w:pPr>
        <w:pStyle w:val="NormalWeb"/>
        <w:spacing w:line="360" w:lineRule="auto"/>
      </w:pPr>
      <w:r w:rsidRPr="00033D3E">
        <w:t xml:space="preserve">Det neste </w:t>
      </w:r>
      <w:proofErr w:type="spellStart"/>
      <w:r w:rsidRPr="00033D3E">
        <w:t>spørsmålet</w:t>
      </w:r>
      <w:proofErr w:type="spellEnd"/>
      <w:r w:rsidRPr="00033D3E">
        <w:t xml:space="preserve"> blir dermed om det foreligger «feilskrift» eller «annen feiltagelse». </w:t>
      </w:r>
    </w:p>
    <w:p w14:paraId="2F59DE48" w14:textId="77777777" w:rsidR="00033D3E" w:rsidRPr="00033D3E" w:rsidRDefault="00033D3E" w:rsidP="00033D3E">
      <w:pPr>
        <w:pStyle w:val="NormalWeb"/>
        <w:spacing w:line="360" w:lineRule="auto"/>
      </w:pPr>
      <w:r w:rsidRPr="00033D3E">
        <w:t xml:space="preserve">Det følger eksplisitt av faktum at Ferdighus i en e-post sendt til Peder utrykte at avtalen </w:t>
      </w:r>
      <w:proofErr w:type="spellStart"/>
      <w:r w:rsidRPr="00033D3E">
        <w:t>måtte</w:t>
      </w:r>
      <w:proofErr w:type="spellEnd"/>
      <w:r w:rsidRPr="00033D3E">
        <w:t xml:space="preserve"> anses ugyldig da det forelå en feilskrift i prisen. Det er derfor </w:t>
      </w:r>
      <w:proofErr w:type="spellStart"/>
      <w:r w:rsidRPr="00033D3E">
        <w:t>pa</w:t>
      </w:r>
      <w:proofErr w:type="spellEnd"/>
      <w:r w:rsidRPr="00033D3E">
        <w:t>̊ det rene at det foreligger «</w:t>
      </w:r>
      <w:proofErr w:type="spellStart"/>
      <w:r w:rsidRPr="00033D3E">
        <w:t>feilsrkift</w:t>
      </w:r>
      <w:proofErr w:type="spellEnd"/>
      <w:r w:rsidRPr="00033D3E">
        <w:t xml:space="preserve">». Bestemmelsen i § 32 kommer dermed til anvendelse. Det neste </w:t>
      </w:r>
      <w:proofErr w:type="spellStart"/>
      <w:r w:rsidRPr="00033D3E">
        <w:t>spørsmålet</w:t>
      </w:r>
      <w:proofErr w:type="spellEnd"/>
      <w:r w:rsidRPr="00033D3E">
        <w:t xml:space="preserve"> om det foreligger ond tro fra Peders side ved at han «</w:t>
      </w:r>
      <w:proofErr w:type="spellStart"/>
      <w:r w:rsidRPr="00033D3E">
        <w:t>indsaa</w:t>
      </w:r>
      <w:proofErr w:type="spellEnd"/>
      <w:r w:rsidRPr="00033D3E">
        <w:t xml:space="preserve">» eller «burde </w:t>
      </w:r>
      <w:proofErr w:type="spellStart"/>
      <w:r w:rsidRPr="00033D3E">
        <w:t>indse</w:t>
      </w:r>
      <w:proofErr w:type="spellEnd"/>
      <w:r w:rsidRPr="00033D3E">
        <w:t xml:space="preserve">» at det forelå en feil i prisen. </w:t>
      </w:r>
    </w:p>
    <w:p w14:paraId="25B14341" w14:textId="77777777" w:rsidR="00033D3E" w:rsidRPr="00033D3E" w:rsidRDefault="00033D3E" w:rsidP="00033D3E">
      <w:pPr>
        <w:pStyle w:val="NormalWeb"/>
        <w:spacing w:line="360" w:lineRule="auto"/>
      </w:pPr>
      <w:r w:rsidRPr="00033D3E">
        <w:t xml:space="preserve">Ferdighus anfører at han ikke kan anses som å være i god tro da han hadde 30 </w:t>
      </w:r>
      <w:proofErr w:type="spellStart"/>
      <w:r w:rsidRPr="00033D3E">
        <w:t>års</w:t>
      </w:r>
      <w:proofErr w:type="spellEnd"/>
      <w:r w:rsidRPr="00033D3E">
        <w:t xml:space="preserve"> erfaring i bransjen. </w:t>
      </w:r>
    </w:p>
    <w:p w14:paraId="1C6DD8F3" w14:textId="77777777" w:rsidR="00033D3E" w:rsidRPr="00033D3E" w:rsidRDefault="00033D3E" w:rsidP="00033D3E">
      <w:pPr>
        <w:pStyle w:val="NormalWeb"/>
        <w:spacing w:line="360" w:lineRule="auto"/>
      </w:pPr>
      <w:r w:rsidRPr="00033D3E">
        <w:t xml:space="preserve">At Peder har 30 </w:t>
      </w:r>
      <w:proofErr w:type="spellStart"/>
      <w:r w:rsidRPr="00033D3E">
        <w:t>års</w:t>
      </w:r>
      <w:proofErr w:type="spellEnd"/>
      <w:r w:rsidRPr="00033D3E">
        <w:t xml:space="preserve"> erfaring taler for at han kan mye om priser knyttet til bygging av hus. Dette taler dermed for at han burde ha sett at prisen </w:t>
      </w:r>
      <w:proofErr w:type="spellStart"/>
      <w:r w:rsidRPr="00033D3E">
        <w:t>pa</w:t>
      </w:r>
      <w:proofErr w:type="spellEnd"/>
      <w:r w:rsidRPr="00033D3E">
        <w:t xml:space="preserve">̊ 350 000 var for lavt for hva som er vanlig </w:t>
      </w:r>
      <w:proofErr w:type="spellStart"/>
      <w:r w:rsidRPr="00033D3E">
        <w:t>pa</w:t>
      </w:r>
      <w:proofErr w:type="spellEnd"/>
      <w:r w:rsidRPr="00033D3E">
        <w:t xml:space="preserve">̊ markedet. Hans erfaring og kunnskap burde derfor tilsi at han burde oppfattet at noe var feil. </w:t>
      </w:r>
    </w:p>
    <w:p w14:paraId="3D28AEEE" w14:textId="77777777" w:rsidR="00033D3E" w:rsidRPr="00033D3E" w:rsidRDefault="00033D3E" w:rsidP="00033D3E">
      <w:pPr>
        <w:pStyle w:val="NormalWeb"/>
        <w:spacing w:line="360" w:lineRule="auto"/>
      </w:pPr>
      <w:r w:rsidRPr="00033D3E">
        <w:t xml:space="preserve">Samtidig </w:t>
      </w:r>
      <w:proofErr w:type="spellStart"/>
      <w:r w:rsidRPr="00033D3E">
        <w:t>ma</w:t>
      </w:r>
      <w:proofErr w:type="spellEnd"/>
      <w:r w:rsidRPr="00033D3E">
        <w:t xml:space="preserve">̊ det </w:t>
      </w:r>
      <w:proofErr w:type="spellStart"/>
      <w:r w:rsidRPr="00033D3E">
        <w:t>ogsa</w:t>
      </w:r>
      <w:proofErr w:type="spellEnd"/>
      <w:r w:rsidRPr="00033D3E">
        <w:t xml:space="preserve">̊ vektlegges at Peder anfører at han trodde dette var et godt tilbud da de var nye </w:t>
      </w:r>
      <w:proofErr w:type="spellStart"/>
      <w:r w:rsidRPr="00033D3E">
        <w:t>pa</w:t>
      </w:r>
      <w:proofErr w:type="spellEnd"/>
      <w:r w:rsidRPr="00033D3E">
        <w:t xml:space="preserve">̊ markedet. Det er ansett som vanlig praksis av nye oppstartete bedrifter at de gir gode tilbud i starten for å trekke til seg kunder. Det at dette er vanlig i bransjen trekker i retning av at Peder var i god tro da han tenkte at dette var en oppstarter tilbud. </w:t>
      </w:r>
    </w:p>
    <w:p w14:paraId="5CCBB355" w14:textId="77777777" w:rsidR="00033D3E" w:rsidRPr="00033D3E" w:rsidRDefault="00033D3E" w:rsidP="00033D3E">
      <w:pPr>
        <w:pStyle w:val="NormalWeb"/>
        <w:spacing w:line="360" w:lineRule="auto"/>
      </w:pPr>
      <w:commentRangeStart w:id="24"/>
      <w:r w:rsidRPr="00033D3E">
        <w:t xml:space="preserve">Det er </w:t>
      </w:r>
      <w:proofErr w:type="spellStart"/>
      <w:r w:rsidRPr="00033D3E">
        <w:t>ogsa</w:t>
      </w:r>
      <w:proofErr w:type="spellEnd"/>
      <w:r w:rsidRPr="00033D3E">
        <w:t xml:space="preserve">̊ av verdi fremkommer noe av faktum som skulle tilsi at Peder reagerte </w:t>
      </w:r>
      <w:proofErr w:type="spellStart"/>
      <w:r w:rsidRPr="00033D3E">
        <w:t>pa</w:t>
      </w:r>
      <w:proofErr w:type="spellEnd"/>
      <w:r w:rsidRPr="00033D3E">
        <w:t xml:space="preserve">̊ den lave prisen. Hadde Peder kommentert at prisen var unormalt lav, eller reagert </w:t>
      </w:r>
      <w:proofErr w:type="spellStart"/>
      <w:r w:rsidRPr="00033D3E">
        <w:t>pa</w:t>
      </w:r>
      <w:proofErr w:type="spellEnd"/>
      <w:r w:rsidRPr="00033D3E">
        <w:t xml:space="preserve">̊ prisen ville det kunne tale for at han ikke var i god tro. Her foreligger det </w:t>
      </w:r>
      <w:proofErr w:type="spellStart"/>
      <w:r w:rsidRPr="00033D3E">
        <w:t>pa</w:t>
      </w:r>
      <w:proofErr w:type="spellEnd"/>
      <w:r w:rsidRPr="00033D3E">
        <w:t xml:space="preserve">̊ andre siden ingenting i faktum som tilsier at Peder stusset over den lave prisen. Dette taler i retning av at han er i god tro. </w:t>
      </w:r>
      <w:commentRangeEnd w:id="24"/>
      <w:r w:rsidR="006A1A63">
        <w:rPr>
          <w:rStyle w:val="Merknadsreferanse"/>
          <w:rFonts w:asciiTheme="minorHAnsi" w:eastAsiaTheme="minorHAnsi" w:hAnsiTheme="minorHAnsi" w:cstheme="minorBidi"/>
          <w:lang w:eastAsia="en-US"/>
        </w:rPr>
        <w:commentReference w:id="24"/>
      </w:r>
    </w:p>
    <w:p w14:paraId="0DAB99AD" w14:textId="77777777" w:rsidR="00033D3E" w:rsidRPr="00033D3E" w:rsidRDefault="00033D3E" w:rsidP="00033D3E">
      <w:pPr>
        <w:pStyle w:val="NormalWeb"/>
        <w:spacing w:line="360" w:lineRule="auto"/>
      </w:pPr>
      <w:r w:rsidRPr="00033D3E">
        <w:t xml:space="preserve">Problemstillingen reiser </w:t>
      </w:r>
      <w:proofErr w:type="spellStart"/>
      <w:r w:rsidRPr="00033D3E">
        <w:t>ogsa</w:t>
      </w:r>
      <w:proofErr w:type="spellEnd"/>
      <w:r w:rsidRPr="00033D3E">
        <w:t xml:space="preserve">̊ et </w:t>
      </w:r>
      <w:proofErr w:type="spellStart"/>
      <w:r w:rsidRPr="00033D3E">
        <w:t>spørsmål</w:t>
      </w:r>
      <w:proofErr w:type="spellEnd"/>
      <w:r w:rsidRPr="00033D3E">
        <w:t xml:space="preserve"> om Peder burde «</w:t>
      </w:r>
      <w:proofErr w:type="spellStart"/>
      <w:r w:rsidRPr="00033D3E">
        <w:t>indse</w:t>
      </w:r>
      <w:proofErr w:type="spellEnd"/>
      <w:r w:rsidRPr="00033D3E">
        <w:t xml:space="preserve">» at prisen var en feiltagelse da den lave prisen ikke ble fremstilt som et «velkomstilbud» eller annen form for tilbud. Dette kan trekke i retning av at Peder «burde </w:t>
      </w:r>
      <w:proofErr w:type="spellStart"/>
      <w:r w:rsidRPr="00033D3E">
        <w:t>indsee</w:t>
      </w:r>
      <w:proofErr w:type="spellEnd"/>
      <w:r w:rsidRPr="00033D3E">
        <w:t xml:space="preserve">» at tilbudet ikke var gjeldende. </w:t>
      </w:r>
      <w:proofErr w:type="spellStart"/>
      <w:r w:rsidRPr="00033D3E">
        <w:t>Pa</w:t>
      </w:r>
      <w:proofErr w:type="spellEnd"/>
      <w:r w:rsidRPr="00033D3E">
        <w:t xml:space="preserve">̊ den andre siden har man ikke en undersøkelsesplikt ved tilbud. Man kan dermed legge til grunn at han trodde dette var et normalt tilbud. </w:t>
      </w:r>
    </w:p>
    <w:p w14:paraId="0B333481" w14:textId="77777777" w:rsidR="00033D3E" w:rsidRPr="00033D3E" w:rsidRDefault="00033D3E" w:rsidP="00033D3E">
      <w:pPr>
        <w:pStyle w:val="NormalWeb"/>
        <w:spacing w:line="360" w:lineRule="auto"/>
      </w:pPr>
      <w:r w:rsidRPr="00033D3E">
        <w:t>Faktum gir få holdepunkter som kunne tilsi at Peder «</w:t>
      </w:r>
      <w:proofErr w:type="spellStart"/>
      <w:r w:rsidRPr="00033D3E">
        <w:t>indsaa</w:t>
      </w:r>
      <w:proofErr w:type="spellEnd"/>
      <w:r w:rsidRPr="00033D3E">
        <w:t xml:space="preserve">» eller «burde </w:t>
      </w:r>
      <w:proofErr w:type="spellStart"/>
      <w:r w:rsidRPr="00033D3E">
        <w:t>indsee</w:t>
      </w:r>
      <w:proofErr w:type="spellEnd"/>
      <w:r w:rsidRPr="00033D3E">
        <w:t xml:space="preserve">» at prisen var feil. </w:t>
      </w:r>
      <w:commentRangeStart w:id="25"/>
      <w:r w:rsidRPr="00033D3E">
        <w:t xml:space="preserve">Her vektlegges det sterkt at Peder ikke gav noen utrykk for at han synes prisen var lav og at det er vanlig for </w:t>
      </w:r>
      <w:proofErr w:type="spellStart"/>
      <w:r w:rsidRPr="00033D3E">
        <w:t>sma</w:t>
      </w:r>
      <w:proofErr w:type="spellEnd"/>
      <w:r w:rsidRPr="00033D3E">
        <w:t xml:space="preserve">̊- </w:t>
      </w:r>
      <w:proofErr w:type="gramStart"/>
      <w:r w:rsidRPr="00033D3E">
        <w:t>ny oppstartede bedrifter</w:t>
      </w:r>
      <w:proofErr w:type="gramEnd"/>
      <w:r w:rsidRPr="00033D3E">
        <w:t xml:space="preserve"> og ha gode tilbud. </w:t>
      </w:r>
      <w:commentRangeEnd w:id="25"/>
      <w:r w:rsidR="009D55F1">
        <w:rPr>
          <w:rStyle w:val="Merknadsreferanse"/>
          <w:rFonts w:asciiTheme="minorHAnsi" w:eastAsiaTheme="minorHAnsi" w:hAnsiTheme="minorHAnsi" w:cstheme="minorBidi"/>
          <w:lang w:eastAsia="en-US"/>
        </w:rPr>
        <w:commentReference w:id="25"/>
      </w:r>
    </w:p>
    <w:p w14:paraId="4671E43F" w14:textId="77777777" w:rsidR="00033D3E" w:rsidRPr="00033D3E" w:rsidRDefault="00033D3E" w:rsidP="00033D3E">
      <w:pPr>
        <w:pStyle w:val="NormalWeb"/>
        <w:spacing w:line="360" w:lineRule="auto"/>
      </w:pPr>
      <w:r w:rsidRPr="00033D3E">
        <w:t xml:space="preserve">Da det kreves ond tro fra Peder sin side for å sette avtalen til side som ugyldig etter § 32 første ledd, er ikke </w:t>
      </w:r>
      <w:proofErr w:type="spellStart"/>
      <w:r w:rsidRPr="00033D3E">
        <w:t>vilkårene</w:t>
      </w:r>
      <w:proofErr w:type="spellEnd"/>
      <w:r w:rsidRPr="00033D3E">
        <w:t xml:space="preserve"> </w:t>
      </w:r>
      <w:proofErr w:type="spellStart"/>
      <w:r w:rsidRPr="00033D3E">
        <w:t>oppfyllt</w:t>
      </w:r>
      <w:proofErr w:type="spellEnd"/>
      <w:r w:rsidRPr="00033D3E">
        <w:t xml:space="preserve">. </w:t>
      </w:r>
    </w:p>
    <w:p w14:paraId="1A4E253F" w14:textId="77777777" w:rsidR="00033D3E" w:rsidRPr="00033D3E" w:rsidRDefault="00033D3E" w:rsidP="00033D3E">
      <w:pPr>
        <w:pStyle w:val="NormalWeb"/>
        <w:spacing w:line="360" w:lineRule="auto"/>
      </w:pPr>
      <w:r w:rsidRPr="00033D3E">
        <w:t xml:space="preserve">Delkonklusjon: avtalen kan ikke settes til side pga. feil med prisen etter § 32 første ledd. </w:t>
      </w:r>
    </w:p>
    <w:p w14:paraId="42F7ABFE" w14:textId="77777777" w:rsidR="00033D3E" w:rsidRPr="00033D3E" w:rsidRDefault="00033D3E" w:rsidP="00033D3E">
      <w:pPr>
        <w:pStyle w:val="NormalWeb"/>
        <w:spacing w:line="360" w:lineRule="auto"/>
      </w:pPr>
      <w:r w:rsidRPr="00033D3E">
        <w:t xml:space="preserve">Det neste </w:t>
      </w:r>
      <w:proofErr w:type="spellStart"/>
      <w:r w:rsidRPr="00033D3E">
        <w:t>spørsmålet</w:t>
      </w:r>
      <w:proofErr w:type="spellEnd"/>
      <w:r w:rsidRPr="00033D3E">
        <w:t xml:space="preserve"> blir om avtalen kan settes til side som ugyldig etter avtalelovens § 36. </w:t>
      </w:r>
    </w:p>
    <w:p w14:paraId="6A642F14" w14:textId="5E5C94AE" w:rsidR="00033D3E" w:rsidRPr="00033D3E" w:rsidRDefault="00033D3E" w:rsidP="00033D3E">
      <w:pPr>
        <w:pStyle w:val="NormalWeb"/>
        <w:spacing w:line="360" w:lineRule="auto"/>
      </w:pPr>
      <w:commentRangeStart w:id="26"/>
      <w:r w:rsidRPr="00033D3E">
        <w:t xml:space="preserve">Selv om hovedregelen er at avtaler skal holdes, er det </w:t>
      </w:r>
      <w:proofErr w:type="spellStart"/>
      <w:r w:rsidRPr="00033D3E">
        <w:t>åpnet</w:t>
      </w:r>
      <w:proofErr w:type="spellEnd"/>
      <w:r w:rsidRPr="00033D3E">
        <w:t xml:space="preserve"> for et snevert unntak til dette i avtalelovens § 36. Det følger av </w:t>
      </w:r>
      <w:proofErr w:type="spellStart"/>
      <w:r w:rsidRPr="00033D3E">
        <w:t>både</w:t>
      </w:r>
      <w:proofErr w:type="spellEnd"/>
      <w:r w:rsidRPr="00033D3E">
        <w:t xml:space="preserve"> rettspraksis og forarbeidene at paragrafen er en svært snever bestemmelse som har som </w:t>
      </w:r>
      <w:proofErr w:type="spellStart"/>
      <w:r w:rsidRPr="00033D3E">
        <w:t>formål</w:t>
      </w:r>
      <w:proofErr w:type="spellEnd"/>
      <w:r w:rsidRPr="00033D3E">
        <w:t xml:space="preserve"> å omfatte de ekstraordinære tilfellene, jf. If-dommen Rt. 2013 s. 769 og Ot. Prp. Nr. 5 (1982-19839 s. 30. At det er en snever unntaksbestemmelse viser dermed til den høye terskelen i paragrafen. </w:t>
      </w:r>
    </w:p>
    <w:p w14:paraId="4770070B" w14:textId="77777777" w:rsidR="00033D3E" w:rsidRPr="00033D3E" w:rsidRDefault="00033D3E" w:rsidP="00033D3E">
      <w:pPr>
        <w:pStyle w:val="NormalWeb"/>
        <w:spacing w:line="360" w:lineRule="auto"/>
      </w:pPr>
      <w:proofErr w:type="spellStart"/>
      <w:r w:rsidRPr="00033D3E">
        <w:t>Vilkårene</w:t>
      </w:r>
      <w:proofErr w:type="spellEnd"/>
      <w:r w:rsidRPr="00033D3E">
        <w:t xml:space="preserve"> for at en avtale skal kunne lempes finner vi i § 36 første ledd. Her kommer det frem at om en avtale er å anse som "urimelig" eller i strid med "god forretningsskikk" kan den "helt" eller "delvis" settes til side. </w:t>
      </w:r>
    </w:p>
    <w:p w14:paraId="2FCAFB8D" w14:textId="77777777" w:rsidR="00033D3E" w:rsidRPr="00033D3E" w:rsidRDefault="00033D3E" w:rsidP="00033D3E">
      <w:pPr>
        <w:pStyle w:val="NormalWeb"/>
        <w:spacing w:line="360" w:lineRule="auto"/>
      </w:pPr>
      <w:r w:rsidRPr="00033D3E">
        <w:t xml:space="preserve">Det følger av </w:t>
      </w:r>
      <w:proofErr w:type="spellStart"/>
      <w:r w:rsidRPr="00033D3E">
        <w:t>både</w:t>
      </w:r>
      <w:proofErr w:type="spellEnd"/>
      <w:r w:rsidRPr="00033D3E">
        <w:t xml:space="preserve"> rettspraksis og juridisk teori at om </w:t>
      </w:r>
      <w:proofErr w:type="spellStart"/>
      <w:r w:rsidRPr="00033D3E">
        <w:t>vilkårene</w:t>
      </w:r>
      <w:proofErr w:type="spellEnd"/>
      <w:r w:rsidRPr="00033D3E">
        <w:t xml:space="preserve"> i § 36 er </w:t>
      </w:r>
      <w:proofErr w:type="spellStart"/>
      <w:r w:rsidRPr="00033D3E">
        <w:t>oppfyllt</w:t>
      </w:r>
      <w:proofErr w:type="spellEnd"/>
      <w:r w:rsidRPr="00033D3E">
        <w:t xml:space="preserve"> beror </w:t>
      </w:r>
      <w:proofErr w:type="spellStart"/>
      <w:r w:rsidRPr="00033D3E">
        <w:t>pa</w:t>
      </w:r>
      <w:proofErr w:type="spellEnd"/>
      <w:r w:rsidRPr="00033D3E">
        <w:t xml:space="preserve">̊ en helhetlig og skjønnsmessig vurdering av alle relevante forhold. Eksempler </w:t>
      </w:r>
      <w:proofErr w:type="spellStart"/>
      <w:r w:rsidRPr="00033D3E">
        <w:t>pa</w:t>
      </w:r>
      <w:proofErr w:type="spellEnd"/>
      <w:r w:rsidRPr="00033D3E">
        <w:t xml:space="preserve">̊ momenter som kan være relevante finner vi i paragrafens andre ledd. </w:t>
      </w:r>
      <w:commentRangeEnd w:id="26"/>
      <w:r w:rsidR="008027E1">
        <w:rPr>
          <w:rStyle w:val="Merknadsreferanse"/>
          <w:rFonts w:asciiTheme="minorHAnsi" w:eastAsiaTheme="minorHAnsi" w:hAnsiTheme="minorHAnsi" w:cstheme="minorBidi"/>
          <w:lang w:eastAsia="en-US"/>
        </w:rPr>
        <w:commentReference w:id="26"/>
      </w:r>
    </w:p>
    <w:p w14:paraId="19211FCD" w14:textId="77777777" w:rsidR="00033D3E" w:rsidRPr="00033D3E" w:rsidRDefault="00033D3E" w:rsidP="00033D3E">
      <w:pPr>
        <w:pStyle w:val="NormalWeb"/>
        <w:spacing w:line="360" w:lineRule="auto"/>
      </w:pPr>
      <w:r w:rsidRPr="00033D3E">
        <w:t xml:space="preserve">Da § 36 oppstiller to alternative </w:t>
      </w:r>
      <w:proofErr w:type="spellStart"/>
      <w:r w:rsidRPr="00033D3E">
        <w:t>vilkår</w:t>
      </w:r>
      <w:proofErr w:type="spellEnd"/>
      <w:r w:rsidRPr="00033D3E">
        <w:t xml:space="preserve">, velger jeg i denne sammenhengen å foreta en vurdering av </w:t>
      </w:r>
      <w:proofErr w:type="spellStart"/>
      <w:r w:rsidRPr="00033D3E">
        <w:t>rimelighetsvilkåret</w:t>
      </w:r>
      <w:proofErr w:type="spellEnd"/>
      <w:r w:rsidRPr="00033D3E">
        <w:t xml:space="preserve">. Dette gjøres </w:t>
      </w:r>
      <w:proofErr w:type="spellStart"/>
      <w:r w:rsidRPr="00033D3E">
        <w:t>pa</w:t>
      </w:r>
      <w:proofErr w:type="spellEnd"/>
      <w:r w:rsidRPr="00033D3E">
        <w:t xml:space="preserve">̊ bakgrunn av at det i forarbeidene er </w:t>
      </w:r>
      <w:proofErr w:type="spellStart"/>
      <w:r w:rsidRPr="00033D3E">
        <w:t>utyrkt</w:t>
      </w:r>
      <w:proofErr w:type="spellEnd"/>
      <w:r w:rsidRPr="00033D3E">
        <w:t xml:space="preserve"> at forhold som er "urimelige" </w:t>
      </w:r>
      <w:proofErr w:type="spellStart"/>
      <w:r w:rsidRPr="00033D3E">
        <w:t>ogsa</w:t>
      </w:r>
      <w:proofErr w:type="spellEnd"/>
      <w:r w:rsidRPr="00033D3E">
        <w:t xml:space="preserve">̊ dekker over "god forretningsskikk". Dette legges </w:t>
      </w:r>
      <w:proofErr w:type="spellStart"/>
      <w:r w:rsidRPr="00033D3E">
        <w:t>ogsa</w:t>
      </w:r>
      <w:proofErr w:type="spellEnd"/>
      <w:r w:rsidRPr="00033D3E">
        <w:t xml:space="preserve">̊ til grunn i Rt. 2013 s.388 (avsnitt 52), hvor det kommer frem at det som er i strid med god forretningsskikk, </w:t>
      </w:r>
      <w:proofErr w:type="spellStart"/>
      <w:r w:rsidRPr="00033D3E">
        <w:t>ogsa</w:t>
      </w:r>
      <w:proofErr w:type="spellEnd"/>
      <w:r w:rsidRPr="00033D3E">
        <w:t xml:space="preserve">̊ vil være urimelig. </w:t>
      </w:r>
    </w:p>
    <w:p w14:paraId="26CDAB34" w14:textId="77777777" w:rsidR="00033D3E" w:rsidRPr="00033D3E" w:rsidRDefault="00033D3E" w:rsidP="00033D3E">
      <w:pPr>
        <w:pStyle w:val="NormalWeb"/>
        <w:spacing w:line="360" w:lineRule="auto"/>
      </w:pPr>
      <w:r w:rsidRPr="00033D3E">
        <w:t xml:space="preserve">En naturlig </w:t>
      </w:r>
      <w:proofErr w:type="spellStart"/>
      <w:r w:rsidRPr="00033D3E">
        <w:t>språklig</w:t>
      </w:r>
      <w:proofErr w:type="spellEnd"/>
      <w:r w:rsidRPr="00033D3E">
        <w:t xml:space="preserve"> </w:t>
      </w:r>
      <w:proofErr w:type="spellStart"/>
      <w:r w:rsidRPr="00033D3E">
        <w:t>forståelse</w:t>
      </w:r>
      <w:proofErr w:type="spellEnd"/>
      <w:r w:rsidRPr="00033D3E">
        <w:t xml:space="preserve"> av «urimelig» </w:t>
      </w:r>
      <w:commentRangeStart w:id="27"/>
      <w:r w:rsidRPr="00033D3E">
        <w:t xml:space="preserve">tilsier at det er tale om en høy terskel og forhold som er utenom det vanlige. At det er en høy </w:t>
      </w:r>
      <w:proofErr w:type="spellStart"/>
      <w:r w:rsidRPr="00033D3E">
        <w:t>terksel</w:t>
      </w:r>
      <w:proofErr w:type="spellEnd"/>
      <w:r w:rsidRPr="00033D3E">
        <w:t xml:space="preserve"> er </w:t>
      </w:r>
      <w:proofErr w:type="spellStart"/>
      <w:r w:rsidRPr="00033D3E">
        <w:t>ogsa</w:t>
      </w:r>
      <w:proofErr w:type="spellEnd"/>
      <w:r w:rsidRPr="00033D3E">
        <w:t xml:space="preserve">̊ er lagt til grunn i forarbeidet </w:t>
      </w:r>
      <w:proofErr w:type="spellStart"/>
      <w:r w:rsidRPr="00033D3E">
        <w:t>ot.prp</w:t>
      </w:r>
      <w:proofErr w:type="spellEnd"/>
      <w:r w:rsidRPr="00033D3E">
        <w:t xml:space="preserve"> nr. 5 (1982-1983) s 30</w:t>
      </w:r>
      <w:commentRangeEnd w:id="27"/>
      <w:r w:rsidR="00C17D74">
        <w:rPr>
          <w:rStyle w:val="Merknadsreferanse"/>
          <w:rFonts w:asciiTheme="minorHAnsi" w:eastAsiaTheme="minorHAnsi" w:hAnsiTheme="minorHAnsi" w:cstheme="minorBidi"/>
          <w:lang w:eastAsia="en-US"/>
        </w:rPr>
        <w:commentReference w:id="27"/>
      </w:r>
      <w:r w:rsidRPr="00033D3E">
        <w:t xml:space="preserve">. Her kommer det frem at avtalen </w:t>
      </w:r>
      <w:proofErr w:type="spellStart"/>
      <w:r w:rsidRPr="00033D3E">
        <w:t>ma</w:t>
      </w:r>
      <w:proofErr w:type="spellEnd"/>
      <w:r w:rsidRPr="00033D3E">
        <w:t xml:space="preserve">̊ være «tydelig urimelig». Det er </w:t>
      </w:r>
      <w:proofErr w:type="spellStart"/>
      <w:r w:rsidRPr="00033D3E">
        <w:t>ogsa</w:t>
      </w:r>
      <w:proofErr w:type="spellEnd"/>
      <w:r w:rsidRPr="00033D3E">
        <w:t xml:space="preserve">̊ lagt til grunn i forarbeidene at det ikke er tilstrekkelig at det finnes rimeligere løsninger. </w:t>
      </w:r>
    </w:p>
    <w:p w14:paraId="3B2DB86B" w14:textId="77777777" w:rsidR="00033D3E" w:rsidRPr="00033D3E" w:rsidRDefault="00033D3E" w:rsidP="00033D3E">
      <w:pPr>
        <w:pStyle w:val="NormalWeb"/>
        <w:spacing w:line="360" w:lineRule="auto"/>
      </w:pPr>
      <w:r w:rsidRPr="00033D3E">
        <w:t xml:space="preserve">Det neste </w:t>
      </w:r>
      <w:proofErr w:type="spellStart"/>
      <w:r w:rsidRPr="00033D3E">
        <w:t>spørsmålet</w:t>
      </w:r>
      <w:proofErr w:type="spellEnd"/>
      <w:r w:rsidRPr="00033D3E">
        <w:t xml:space="preserve"> blir dermed om å opprettholde avtalen mellom partene vil anses for å være «urimelig» for Ferdighus AS. </w:t>
      </w:r>
    </w:p>
    <w:p w14:paraId="6408A222" w14:textId="77777777" w:rsidR="00033D3E" w:rsidRPr="00033D3E" w:rsidRDefault="00033D3E" w:rsidP="00033D3E">
      <w:pPr>
        <w:pStyle w:val="NormalWeb"/>
        <w:spacing w:line="360" w:lineRule="auto"/>
      </w:pPr>
      <w:r w:rsidRPr="00033D3E">
        <w:t xml:space="preserve">Etter momentene i § 36 andre ledd vil det først være nærliggende å vurdere om «avtalens innhold» er å anse som urimelig ovenfor Ferdighus. Det følger av faktum at den gamle avtalen inneholder en feil pris </w:t>
      </w:r>
      <w:proofErr w:type="spellStart"/>
      <w:r w:rsidRPr="00033D3E">
        <w:t>pa</w:t>
      </w:r>
      <w:proofErr w:type="spellEnd"/>
      <w:r w:rsidRPr="00033D3E">
        <w:t xml:space="preserve">̊ 350 000 kroner i forhold til den riktige prisen </w:t>
      </w:r>
      <w:proofErr w:type="spellStart"/>
      <w:r w:rsidRPr="00033D3E">
        <w:t>pa</w:t>
      </w:r>
      <w:proofErr w:type="spellEnd"/>
      <w:r w:rsidRPr="00033D3E">
        <w:t xml:space="preserve">̊ 500 000. Ferdighus har anført at dette </w:t>
      </w:r>
      <w:proofErr w:type="spellStart"/>
      <w:r w:rsidRPr="00033D3E">
        <w:t>ma</w:t>
      </w:r>
      <w:proofErr w:type="spellEnd"/>
      <w:r w:rsidRPr="00033D3E">
        <w:t xml:space="preserve">̊ være urimelig da de taper 75 000 kroner. </w:t>
      </w:r>
    </w:p>
    <w:p w14:paraId="3A40D435" w14:textId="77777777" w:rsidR="00033D3E" w:rsidRPr="00033D3E" w:rsidRDefault="00033D3E" w:rsidP="00033D3E">
      <w:pPr>
        <w:pStyle w:val="NormalWeb"/>
        <w:spacing w:line="360" w:lineRule="auto"/>
      </w:pPr>
      <w:r w:rsidRPr="00033D3E">
        <w:t xml:space="preserve">Det er </w:t>
      </w:r>
      <w:proofErr w:type="spellStart"/>
      <w:r w:rsidRPr="00033D3E">
        <w:t>pa</w:t>
      </w:r>
      <w:proofErr w:type="spellEnd"/>
      <w:r w:rsidRPr="00033D3E">
        <w:t xml:space="preserve">̊ det rene at et tap </w:t>
      </w:r>
      <w:proofErr w:type="spellStart"/>
      <w:r w:rsidRPr="00033D3E">
        <w:t>pa</w:t>
      </w:r>
      <w:proofErr w:type="spellEnd"/>
      <w:r w:rsidRPr="00033D3E">
        <w:t xml:space="preserve">̊ 75 000 korner er mye. Her </w:t>
      </w:r>
      <w:proofErr w:type="spellStart"/>
      <w:r w:rsidRPr="00033D3E">
        <w:t>ma</w:t>
      </w:r>
      <w:proofErr w:type="spellEnd"/>
      <w:r w:rsidRPr="00033D3E">
        <w:t xml:space="preserve">̊ det </w:t>
      </w:r>
      <w:proofErr w:type="spellStart"/>
      <w:r w:rsidRPr="00033D3E">
        <w:t>ogsa</w:t>
      </w:r>
      <w:proofErr w:type="spellEnd"/>
      <w:r w:rsidRPr="00033D3E">
        <w:t xml:space="preserve">̊ vektlegges at det er et lite og ny oppstartet firma. Om et tap </w:t>
      </w:r>
      <w:proofErr w:type="spellStart"/>
      <w:r w:rsidRPr="00033D3E">
        <w:t>pa</w:t>
      </w:r>
      <w:proofErr w:type="spellEnd"/>
      <w:r w:rsidRPr="00033D3E">
        <w:t xml:space="preserve">̊ 75 000 kroner vil utgjøre en stor forskjell i firmaets økonomi, </w:t>
      </w:r>
      <w:commentRangeStart w:id="28"/>
      <w:r w:rsidRPr="00033D3E">
        <w:t>er det klart at avtalen er urimelig da det vil kunne ødelegge for selskapet</w:t>
      </w:r>
      <w:commentRangeEnd w:id="28"/>
      <w:r w:rsidR="00A44C51">
        <w:rPr>
          <w:rStyle w:val="Merknadsreferanse"/>
          <w:rFonts w:asciiTheme="minorHAnsi" w:eastAsiaTheme="minorHAnsi" w:hAnsiTheme="minorHAnsi" w:cstheme="minorBidi"/>
          <w:lang w:eastAsia="en-US"/>
        </w:rPr>
        <w:commentReference w:id="28"/>
      </w:r>
      <w:r w:rsidRPr="00033D3E">
        <w:t xml:space="preserve">. Hva som er konsekvensen av tapet </w:t>
      </w:r>
      <w:proofErr w:type="spellStart"/>
      <w:r w:rsidRPr="00033D3E">
        <w:t>pa</w:t>
      </w:r>
      <w:proofErr w:type="spellEnd"/>
      <w:r w:rsidRPr="00033D3E">
        <w:t xml:space="preserve">̊ 75 000, er det imidlertid ikke klare holdepunkter for i faktum og det kan dermed ikke </w:t>
      </w:r>
      <w:proofErr w:type="spellStart"/>
      <w:r w:rsidRPr="00033D3E">
        <w:t>illegges</w:t>
      </w:r>
      <w:proofErr w:type="spellEnd"/>
      <w:r w:rsidRPr="00033D3E">
        <w:t xml:space="preserve"> særlig vekt. </w:t>
      </w:r>
    </w:p>
    <w:p w14:paraId="6419D7A2" w14:textId="77777777" w:rsidR="00033D3E" w:rsidRPr="00033D3E" w:rsidRDefault="00033D3E" w:rsidP="00033D3E">
      <w:pPr>
        <w:pStyle w:val="NormalWeb"/>
        <w:spacing w:line="360" w:lineRule="auto"/>
      </w:pPr>
      <w:r w:rsidRPr="00033D3E">
        <w:t xml:space="preserve">I forbindelse med at faktum ikke gir klare holdepunkter for hvilke konsekvenser tapet </w:t>
      </w:r>
      <w:proofErr w:type="spellStart"/>
      <w:r w:rsidRPr="00033D3E">
        <w:t>pa</w:t>
      </w:r>
      <w:proofErr w:type="spellEnd"/>
      <w:r w:rsidRPr="00033D3E">
        <w:t>̊</w:t>
      </w:r>
      <w:r w:rsidRPr="00033D3E">
        <w:br/>
        <w:t xml:space="preserve">75 000 kroner utgjør for dem, samt sett i sammenheng med den høye terskelen for </w:t>
      </w:r>
      <w:proofErr w:type="spellStart"/>
      <w:r w:rsidRPr="00033D3E">
        <w:t>vilkåret</w:t>
      </w:r>
      <w:proofErr w:type="spellEnd"/>
      <w:r w:rsidRPr="00033D3E">
        <w:t xml:space="preserve"> om «urimelig» og hensynet til forutberegnelighet, kan man ikke trekke en konklusjon i sammenheng med avtalens innhold. </w:t>
      </w:r>
    </w:p>
    <w:p w14:paraId="4E724EA6" w14:textId="77777777" w:rsidR="00033D3E" w:rsidRPr="00033D3E" w:rsidRDefault="00033D3E" w:rsidP="00033D3E">
      <w:pPr>
        <w:pStyle w:val="NormalWeb"/>
        <w:spacing w:line="360" w:lineRule="auto"/>
      </w:pPr>
      <w:commentRangeStart w:id="29"/>
      <w:r w:rsidRPr="00033D3E">
        <w:t xml:space="preserve">Da avtalens innhold ikke trekker i en direkte retning </w:t>
      </w:r>
      <w:proofErr w:type="spellStart"/>
      <w:r w:rsidRPr="00033D3E">
        <w:t>ma</w:t>
      </w:r>
      <w:proofErr w:type="spellEnd"/>
      <w:r w:rsidRPr="00033D3E">
        <w:t xml:space="preserve">̊ man </w:t>
      </w:r>
      <w:proofErr w:type="spellStart"/>
      <w:r w:rsidRPr="00033D3E">
        <w:t>ogsa</w:t>
      </w:r>
      <w:proofErr w:type="spellEnd"/>
      <w:r w:rsidRPr="00033D3E">
        <w:t xml:space="preserve">̊ vurdere urimeligheten i henhold til partenes stilling, jf. avtl. § 36 andre ledd. </w:t>
      </w:r>
      <w:commentRangeEnd w:id="29"/>
      <w:r w:rsidR="00214AE7">
        <w:rPr>
          <w:rStyle w:val="Merknadsreferanse"/>
          <w:rFonts w:asciiTheme="minorHAnsi" w:eastAsiaTheme="minorHAnsi" w:hAnsiTheme="minorHAnsi" w:cstheme="minorBidi"/>
          <w:lang w:eastAsia="en-US"/>
        </w:rPr>
        <w:commentReference w:id="29"/>
      </w:r>
    </w:p>
    <w:p w14:paraId="12400642" w14:textId="77777777" w:rsidR="00033D3E" w:rsidRPr="00033D3E" w:rsidRDefault="00033D3E" w:rsidP="00033D3E">
      <w:pPr>
        <w:pStyle w:val="NormalWeb"/>
        <w:spacing w:line="360" w:lineRule="auto"/>
      </w:pPr>
      <w:r w:rsidRPr="00033D3E">
        <w:t xml:space="preserve">Ferdighus har anført at avtalen </w:t>
      </w:r>
      <w:proofErr w:type="spellStart"/>
      <w:r w:rsidRPr="00033D3E">
        <w:t>ma</w:t>
      </w:r>
      <w:proofErr w:type="spellEnd"/>
      <w:r w:rsidRPr="00033D3E">
        <w:t xml:space="preserve">̊ anses som ugyldig da de er den svake parten ovenfor Peder med sin 30 </w:t>
      </w:r>
      <w:proofErr w:type="spellStart"/>
      <w:r w:rsidRPr="00033D3E">
        <w:t>år</w:t>
      </w:r>
      <w:proofErr w:type="spellEnd"/>
      <w:r w:rsidRPr="00033D3E">
        <w:t xml:space="preserve"> lange erfaring. </w:t>
      </w:r>
    </w:p>
    <w:p w14:paraId="64D0B84F" w14:textId="77777777" w:rsidR="00033D3E" w:rsidRPr="00033D3E" w:rsidRDefault="00033D3E" w:rsidP="00033D3E">
      <w:pPr>
        <w:pStyle w:val="NormalWeb"/>
        <w:spacing w:line="360" w:lineRule="auto"/>
      </w:pPr>
      <w:r w:rsidRPr="00033D3E">
        <w:t xml:space="preserve">I foreliggende sak er det tale om to næringsdrivende parter. Det følger av rettspraksis at det stilles høyere terskel til næringsdrivende parter enn det det gjør til forbrukere, jf. Rt 2011 s. 1553 Bergen Group. Dette er fordi det i kommersielle kontrakter stilles høyere krav til forutberegnelighet og at profesjonelle ofte tenker mer gjennom avtalene før de </w:t>
      </w:r>
      <w:proofErr w:type="spellStart"/>
      <w:r w:rsidRPr="00033D3E">
        <w:t>inngår</w:t>
      </w:r>
      <w:proofErr w:type="spellEnd"/>
      <w:r w:rsidRPr="00033D3E">
        <w:t xml:space="preserve"> dem. Partenes stilling sett i henhold til at begge er næringsdrivende taler derfor mot at urimelighetskravet er </w:t>
      </w:r>
      <w:proofErr w:type="spellStart"/>
      <w:r w:rsidRPr="00033D3E">
        <w:t>oppfyllt</w:t>
      </w:r>
      <w:proofErr w:type="spellEnd"/>
      <w:r w:rsidRPr="00033D3E">
        <w:t xml:space="preserve">. </w:t>
      </w:r>
    </w:p>
    <w:p w14:paraId="363B908E" w14:textId="77777777" w:rsidR="00033D3E" w:rsidRPr="00033D3E" w:rsidRDefault="00033D3E" w:rsidP="00033D3E">
      <w:pPr>
        <w:pStyle w:val="NormalWeb"/>
        <w:spacing w:line="360" w:lineRule="auto"/>
      </w:pPr>
      <w:r w:rsidRPr="00033D3E">
        <w:t xml:space="preserve">Men selv om begge er næringsdrivende </w:t>
      </w:r>
      <w:proofErr w:type="spellStart"/>
      <w:r w:rsidRPr="00033D3E">
        <w:t>ma</w:t>
      </w:r>
      <w:proofErr w:type="spellEnd"/>
      <w:r w:rsidRPr="00033D3E">
        <w:t xml:space="preserve">̊ man ta i betraktning at Peder har 30 </w:t>
      </w:r>
      <w:proofErr w:type="spellStart"/>
      <w:r w:rsidRPr="00033D3E">
        <w:t>års</w:t>
      </w:r>
      <w:proofErr w:type="spellEnd"/>
      <w:r w:rsidRPr="00033D3E">
        <w:t xml:space="preserve"> erfaring, mens Ferdighus er nyopprettet. Dette taler for at Ferdighus har mindre erfaring </w:t>
      </w:r>
      <w:proofErr w:type="spellStart"/>
      <w:r w:rsidRPr="00033D3E">
        <w:t>pa</w:t>
      </w:r>
      <w:proofErr w:type="spellEnd"/>
      <w:r w:rsidRPr="00033D3E">
        <w:t xml:space="preserve">̊ markedet og dermed er å anse som den svake parten. Dette er av betydning da avtaleloven legger opp til at man skal ta hensyn til den svake parten. </w:t>
      </w:r>
    </w:p>
    <w:p w14:paraId="262579F8" w14:textId="77777777" w:rsidR="00033D3E" w:rsidRPr="00033D3E" w:rsidRDefault="00033D3E" w:rsidP="00033D3E">
      <w:pPr>
        <w:pStyle w:val="NormalWeb"/>
        <w:spacing w:line="360" w:lineRule="auto"/>
      </w:pPr>
      <w:r w:rsidRPr="00033D3E">
        <w:t xml:space="preserve">Men selv om de er å anse som den svake parten </w:t>
      </w:r>
      <w:proofErr w:type="spellStart"/>
      <w:r w:rsidRPr="00033D3E">
        <w:t>ma</w:t>
      </w:r>
      <w:proofErr w:type="spellEnd"/>
      <w:r w:rsidRPr="00033D3E">
        <w:t xml:space="preserve">̊ man vektlegge hensynet til forutberegnelighet. Her er det viktig å bemerke at det var Ferdighus som la ut prisen </w:t>
      </w:r>
      <w:proofErr w:type="spellStart"/>
      <w:r w:rsidRPr="00033D3E">
        <w:t>pa</w:t>
      </w:r>
      <w:proofErr w:type="spellEnd"/>
      <w:r w:rsidRPr="00033D3E">
        <w:t xml:space="preserve">̊ sin nettside, for at de så godtok Peder sine ønsker. Ferdighus er dermed nærmest å bære risikoen for at det ble lagt ned feil pris. </w:t>
      </w:r>
    </w:p>
    <w:p w14:paraId="06C4E588" w14:textId="77777777" w:rsidR="00033D3E" w:rsidRPr="00033D3E" w:rsidRDefault="00033D3E" w:rsidP="00033D3E">
      <w:pPr>
        <w:pStyle w:val="NormalWeb"/>
        <w:spacing w:line="360" w:lineRule="auto"/>
      </w:pPr>
      <w:r w:rsidRPr="00033D3E">
        <w:t xml:space="preserve">Selv om Ferdighus er nye i bransjen, burde de ha kunnskap om v hvor viktig det er å gi ut riktig informasjon. </w:t>
      </w:r>
      <w:commentRangeStart w:id="30"/>
      <w:r w:rsidRPr="00033D3E">
        <w:t xml:space="preserve">Man kan derfor ikke ilegge partenes stilling for mye vekt. Partenes stilling trekker i retning av at avtalen ikke er «urimelig». </w:t>
      </w:r>
      <w:commentRangeEnd w:id="30"/>
      <w:r w:rsidR="00EF7760">
        <w:rPr>
          <w:rStyle w:val="Merknadsreferanse"/>
          <w:rFonts w:asciiTheme="minorHAnsi" w:eastAsiaTheme="minorHAnsi" w:hAnsiTheme="minorHAnsi" w:cstheme="minorBidi"/>
          <w:lang w:eastAsia="en-US"/>
        </w:rPr>
        <w:commentReference w:id="30"/>
      </w:r>
    </w:p>
    <w:p w14:paraId="4AA63BFE" w14:textId="77777777" w:rsidR="00033D3E" w:rsidRPr="00033D3E" w:rsidRDefault="00033D3E" w:rsidP="00033D3E">
      <w:pPr>
        <w:pStyle w:val="NormalWeb"/>
        <w:spacing w:line="360" w:lineRule="auto"/>
      </w:pPr>
      <w:r w:rsidRPr="00033D3E">
        <w:t xml:space="preserve">I avtalelovens § 36 andre ledd legges det </w:t>
      </w:r>
      <w:proofErr w:type="spellStart"/>
      <w:r w:rsidRPr="00033D3E">
        <w:t>ogsa</w:t>
      </w:r>
      <w:proofErr w:type="spellEnd"/>
      <w:r w:rsidRPr="00033D3E">
        <w:t xml:space="preserve">̊ opp til en vurdering av «senere </w:t>
      </w:r>
      <w:proofErr w:type="spellStart"/>
      <w:r w:rsidRPr="00033D3E">
        <w:t>inntrådte</w:t>
      </w:r>
      <w:proofErr w:type="spellEnd"/>
      <w:r w:rsidRPr="00033D3E">
        <w:t xml:space="preserve"> forhold». </w:t>
      </w:r>
    </w:p>
    <w:p w14:paraId="665851D8" w14:textId="77777777" w:rsidR="00033D3E" w:rsidRPr="00033D3E" w:rsidRDefault="00033D3E" w:rsidP="00033D3E">
      <w:pPr>
        <w:pStyle w:val="NormalWeb"/>
        <w:spacing w:line="360" w:lineRule="auto"/>
      </w:pPr>
      <w:r w:rsidRPr="00033D3E">
        <w:t xml:space="preserve">En naturlig </w:t>
      </w:r>
      <w:proofErr w:type="spellStart"/>
      <w:r w:rsidRPr="00033D3E">
        <w:t>språklig</w:t>
      </w:r>
      <w:proofErr w:type="spellEnd"/>
      <w:r w:rsidRPr="00033D3E">
        <w:t xml:space="preserve"> </w:t>
      </w:r>
      <w:proofErr w:type="spellStart"/>
      <w:r w:rsidRPr="00033D3E">
        <w:t>forståelse</w:t>
      </w:r>
      <w:proofErr w:type="spellEnd"/>
      <w:r w:rsidRPr="00033D3E">
        <w:t xml:space="preserve"> av «senere </w:t>
      </w:r>
      <w:proofErr w:type="spellStart"/>
      <w:r w:rsidRPr="00033D3E">
        <w:t>inntrådte</w:t>
      </w:r>
      <w:proofErr w:type="spellEnd"/>
      <w:r w:rsidRPr="00033D3E">
        <w:t xml:space="preserve"> forhold» iser til at det er tale om omstendigheter som har inntruffet etter avtalen ble </w:t>
      </w:r>
      <w:proofErr w:type="spellStart"/>
      <w:r w:rsidRPr="00033D3E">
        <w:t>inngått</w:t>
      </w:r>
      <w:proofErr w:type="spellEnd"/>
      <w:r w:rsidRPr="00033D3E">
        <w:t xml:space="preserve">. </w:t>
      </w:r>
    </w:p>
    <w:p w14:paraId="6548ABC0" w14:textId="77777777" w:rsidR="00033D3E" w:rsidRPr="00033D3E" w:rsidRDefault="00033D3E" w:rsidP="00033D3E">
      <w:pPr>
        <w:pStyle w:val="NormalWeb"/>
        <w:spacing w:line="360" w:lineRule="auto"/>
      </w:pPr>
      <w:commentRangeStart w:id="31"/>
      <w:r w:rsidRPr="00033D3E">
        <w:t xml:space="preserve">Det følger av forarbeidene til § 36 at terskelen for å lempe en avtale etter § 36, med hensyn til senere </w:t>
      </w:r>
      <w:proofErr w:type="spellStart"/>
      <w:r w:rsidRPr="00033D3E">
        <w:t>inntrådte</w:t>
      </w:r>
      <w:proofErr w:type="spellEnd"/>
      <w:r w:rsidRPr="00033D3E">
        <w:t xml:space="preserve"> forhold, er meget høy. Denne høye terskelen blir enda mer forsterket i sammenheng med at det er tale om to profesjonelle parter. I forarbeidet I Ot.prp.nr. 5 (1982- 1983) s.35 er det lagt til grunn at det kun aktuelt med lemping etter endrede forhold har skjedd i “ekstraordinære tilfeller”. </w:t>
      </w:r>
      <w:commentRangeEnd w:id="31"/>
      <w:r w:rsidR="00EF7760">
        <w:rPr>
          <w:rStyle w:val="Merknadsreferanse"/>
          <w:rFonts w:asciiTheme="minorHAnsi" w:eastAsiaTheme="minorHAnsi" w:hAnsiTheme="minorHAnsi" w:cstheme="minorBidi"/>
          <w:lang w:eastAsia="en-US"/>
        </w:rPr>
        <w:commentReference w:id="31"/>
      </w:r>
    </w:p>
    <w:p w14:paraId="2FF1CE40" w14:textId="77777777" w:rsidR="00033D3E" w:rsidRPr="00033D3E" w:rsidRDefault="00033D3E" w:rsidP="00033D3E">
      <w:pPr>
        <w:pStyle w:val="NormalWeb"/>
        <w:spacing w:line="360" w:lineRule="auto"/>
      </w:pPr>
      <w:r w:rsidRPr="00033D3E">
        <w:t xml:space="preserve">De senere </w:t>
      </w:r>
      <w:proofErr w:type="spellStart"/>
      <w:r w:rsidRPr="00033D3E">
        <w:t>inntrådte</w:t>
      </w:r>
      <w:proofErr w:type="spellEnd"/>
      <w:r w:rsidRPr="00033D3E">
        <w:t xml:space="preserve"> forholdene i foreliggende sak er at det har vært en oppgang i </w:t>
      </w:r>
      <w:proofErr w:type="spellStart"/>
      <w:r w:rsidRPr="00033D3E">
        <w:t>råvareprisene</w:t>
      </w:r>
      <w:proofErr w:type="spellEnd"/>
      <w:r w:rsidRPr="00033D3E">
        <w:t xml:space="preserve">. Denne oppgangen kan føre til et tap </w:t>
      </w:r>
      <w:proofErr w:type="spellStart"/>
      <w:r w:rsidRPr="00033D3E">
        <w:t>pa</w:t>
      </w:r>
      <w:proofErr w:type="spellEnd"/>
      <w:r w:rsidRPr="00033D3E">
        <w:t xml:space="preserve">̊ 150 000 kroner for Ferdighus. </w:t>
      </w:r>
    </w:p>
    <w:p w14:paraId="6A823D7F" w14:textId="77777777" w:rsidR="00033D3E" w:rsidRPr="00033D3E" w:rsidRDefault="00033D3E" w:rsidP="00033D3E">
      <w:pPr>
        <w:pStyle w:val="NormalWeb"/>
        <w:spacing w:line="360" w:lineRule="auto"/>
      </w:pPr>
      <w:r w:rsidRPr="00033D3E">
        <w:t xml:space="preserve">At </w:t>
      </w:r>
      <w:proofErr w:type="spellStart"/>
      <w:r w:rsidRPr="00033D3E">
        <w:t>råvarepriser</w:t>
      </w:r>
      <w:proofErr w:type="spellEnd"/>
      <w:r w:rsidRPr="00033D3E">
        <w:t xml:space="preserve"> endrer seg er ikke tilstrekkelig for å tilsi at det foreligger et ekstraordinært tilfelle. Dette følger av </w:t>
      </w:r>
      <w:proofErr w:type="spellStart"/>
      <w:r w:rsidRPr="00033D3E">
        <w:t>råvareprisene</w:t>
      </w:r>
      <w:proofErr w:type="spellEnd"/>
      <w:r w:rsidRPr="00033D3E">
        <w:t xml:space="preserve"> følger markedsøkonomien og at den dermed kan variere i takt med økonomien i samfunnet. Dette taler mot at det foreligger «urimelighet» etter § 36 første ledd. </w:t>
      </w:r>
    </w:p>
    <w:p w14:paraId="217E1F95" w14:textId="77777777" w:rsidR="00033D3E" w:rsidRPr="00033D3E" w:rsidRDefault="00033D3E" w:rsidP="00033D3E">
      <w:pPr>
        <w:pStyle w:val="NormalWeb"/>
        <w:spacing w:line="360" w:lineRule="auto"/>
      </w:pPr>
      <w:r w:rsidRPr="00033D3E">
        <w:t xml:space="preserve">Det følger av lovens forarbeider at den ulovfestete læren om bristende forutsetninger kan brukes i vurderingen av senere </w:t>
      </w:r>
      <w:proofErr w:type="spellStart"/>
      <w:r w:rsidRPr="00033D3E">
        <w:t>inntrådte</w:t>
      </w:r>
      <w:proofErr w:type="spellEnd"/>
      <w:r w:rsidRPr="00033D3E">
        <w:t xml:space="preserve"> forhold. </w:t>
      </w:r>
    </w:p>
    <w:p w14:paraId="7E8E66ED" w14:textId="77777777" w:rsidR="00033D3E" w:rsidRPr="00033D3E" w:rsidRDefault="00033D3E" w:rsidP="00033D3E">
      <w:pPr>
        <w:pStyle w:val="NormalWeb"/>
        <w:spacing w:line="360" w:lineRule="auto"/>
      </w:pPr>
      <w:r w:rsidRPr="00033D3E">
        <w:t xml:space="preserve">En forutsetning i den norske avtaleretten er at enhver avtalepart bærer risikoen for egne forutsetninger, jf. Oslo vei-dommen i Rt. 2010 s. 1345 avsnitt 65. </w:t>
      </w:r>
    </w:p>
    <w:p w14:paraId="24CAF994" w14:textId="77777777" w:rsidR="00033D3E" w:rsidRPr="00033D3E" w:rsidRDefault="00033D3E" w:rsidP="00033D3E">
      <w:pPr>
        <w:pStyle w:val="NormalWeb"/>
        <w:spacing w:line="360" w:lineRule="auto"/>
      </w:pPr>
      <w:r w:rsidRPr="00033D3E">
        <w:t xml:space="preserve">Det følger ingenting av faktum som kan tilsi at partene forutså økningen i </w:t>
      </w:r>
      <w:proofErr w:type="spellStart"/>
      <w:r w:rsidRPr="00033D3E">
        <w:t>råvareprisene</w:t>
      </w:r>
      <w:proofErr w:type="spellEnd"/>
      <w:r w:rsidRPr="00033D3E">
        <w:t xml:space="preserve">. Med dette tatt i betraktning kan ikke de «senere </w:t>
      </w:r>
      <w:proofErr w:type="spellStart"/>
      <w:r w:rsidRPr="00033D3E">
        <w:t>inntrådte</w:t>
      </w:r>
      <w:proofErr w:type="spellEnd"/>
      <w:r w:rsidRPr="00033D3E">
        <w:t xml:space="preserve">» forholdene </w:t>
      </w:r>
      <w:proofErr w:type="spellStart"/>
      <w:r w:rsidRPr="00033D3E">
        <w:t>illegges</w:t>
      </w:r>
      <w:proofErr w:type="spellEnd"/>
      <w:r w:rsidRPr="00033D3E">
        <w:t xml:space="preserve"> vekt. Det blir dermed </w:t>
      </w:r>
      <w:proofErr w:type="spellStart"/>
      <w:r w:rsidRPr="00033D3E">
        <w:t>ogsa</w:t>
      </w:r>
      <w:proofErr w:type="spellEnd"/>
      <w:r w:rsidRPr="00033D3E">
        <w:t xml:space="preserve">̊ Ferdighus som </w:t>
      </w:r>
      <w:proofErr w:type="spellStart"/>
      <w:r w:rsidRPr="00033D3E">
        <w:t>ma</w:t>
      </w:r>
      <w:proofErr w:type="spellEnd"/>
      <w:r w:rsidRPr="00033D3E">
        <w:t xml:space="preserve">̊ bære risiko for at markedet utviklet seg </w:t>
      </w:r>
      <w:proofErr w:type="spellStart"/>
      <w:r w:rsidRPr="00033D3E">
        <w:t>pa</w:t>
      </w:r>
      <w:proofErr w:type="spellEnd"/>
      <w:r w:rsidRPr="00033D3E">
        <w:t xml:space="preserve">̊ denne </w:t>
      </w:r>
      <w:proofErr w:type="spellStart"/>
      <w:r w:rsidRPr="00033D3E">
        <w:t>måten</w:t>
      </w:r>
      <w:proofErr w:type="spellEnd"/>
      <w:r w:rsidRPr="00033D3E">
        <w:t xml:space="preserve">. Det ville ikke være rimelig å la Peder overta denne risikoen. </w:t>
      </w:r>
    </w:p>
    <w:p w14:paraId="5D336B2B" w14:textId="77777777" w:rsidR="00033D3E" w:rsidRPr="00033D3E" w:rsidRDefault="00033D3E" w:rsidP="00033D3E">
      <w:pPr>
        <w:pStyle w:val="NormalWeb"/>
        <w:spacing w:line="360" w:lineRule="auto"/>
      </w:pPr>
      <w:r w:rsidRPr="00033D3E">
        <w:t xml:space="preserve">Det siste momentet som </w:t>
      </w:r>
      <w:proofErr w:type="spellStart"/>
      <w:r w:rsidRPr="00033D3E">
        <w:t>ma</w:t>
      </w:r>
      <w:proofErr w:type="spellEnd"/>
      <w:r w:rsidRPr="00033D3E">
        <w:t xml:space="preserve">̊ </w:t>
      </w:r>
      <w:proofErr w:type="spellStart"/>
      <w:r w:rsidRPr="00033D3E">
        <w:t>illegges</w:t>
      </w:r>
      <w:proofErr w:type="spellEnd"/>
      <w:r w:rsidRPr="00033D3E">
        <w:t xml:space="preserve"> vekt i helhetsvurderingen er tiden det tok før Ferdighus sendte ut melding om at avtalen var ugyldig. </w:t>
      </w:r>
    </w:p>
    <w:p w14:paraId="18A33FBE" w14:textId="77777777" w:rsidR="00033D3E" w:rsidRPr="00033D3E" w:rsidRDefault="00033D3E" w:rsidP="00033D3E">
      <w:pPr>
        <w:pStyle w:val="NormalWeb"/>
        <w:spacing w:line="360" w:lineRule="auto"/>
      </w:pPr>
      <w:r w:rsidRPr="00033D3E">
        <w:t xml:space="preserve">Det følger av faktum at det tok Ferdighus en </w:t>
      </w:r>
      <w:proofErr w:type="spellStart"/>
      <w:r w:rsidRPr="00033D3E">
        <w:t>måned</w:t>
      </w:r>
      <w:proofErr w:type="spellEnd"/>
      <w:r w:rsidRPr="00033D3E">
        <w:t xml:space="preserve"> å sende e-posten til Peder om at prisen var feil. </w:t>
      </w:r>
    </w:p>
    <w:p w14:paraId="49D11DCF" w14:textId="77777777" w:rsidR="00033D3E" w:rsidRPr="00033D3E" w:rsidRDefault="00033D3E" w:rsidP="00033D3E">
      <w:pPr>
        <w:pStyle w:val="NormalWeb"/>
        <w:spacing w:line="360" w:lineRule="auto"/>
      </w:pPr>
      <w:r w:rsidRPr="00033D3E">
        <w:t xml:space="preserve">At det tok så lang tid før de tok kontakt taler </w:t>
      </w:r>
      <w:proofErr w:type="spellStart"/>
      <w:r w:rsidRPr="00033D3E">
        <w:t>ogsa</w:t>
      </w:r>
      <w:proofErr w:type="spellEnd"/>
      <w:r w:rsidRPr="00033D3E">
        <w:t xml:space="preserve">̊ mot at det foreligger «urimelighet» da de ikke merket feilen </w:t>
      </w:r>
      <w:proofErr w:type="spellStart"/>
      <w:r w:rsidRPr="00033D3E">
        <w:t>pa</w:t>
      </w:r>
      <w:proofErr w:type="spellEnd"/>
      <w:r w:rsidRPr="00033D3E">
        <w:t xml:space="preserve">̊ så lenge. Av hensyn til forutberegnelighet </w:t>
      </w:r>
      <w:proofErr w:type="spellStart"/>
      <w:r w:rsidRPr="00033D3E">
        <w:t>ma</w:t>
      </w:r>
      <w:proofErr w:type="spellEnd"/>
      <w:r w:rsidRPr="00033D3E">
        <w:t xml:space="preserve">̊ dette </w:t>
      </w:r>
      <w:proofErr w:type="spellStart"/>
      <w:r w:rsidRPr="00033D3E">
        <w:t>ogsa</w:t>
      </w:r>
      <w:proofErr w:type="spellEnd"/>
      <w:r w:rsidRPr="00033D3E">
        <w:t xml:space="preserve">̊ legges vekt da Peder mest sannsynlig hadde innstilt seg etter dette. man kan antyde at om Ferdighus hadde sendt ut e-posten direkte etter feilen var gjort kunne dette talt i retning urimelighet. Men da de ventet </w:t>
      </w:r>
      <w:proofErr w:type="spellStart"/>
      <w:r w:rsidRPr="00033D3E">
        <w:t>såpass</w:t>
      </w:r>
      <w:proofErr w:type="spellEnd"/>
      <w:r w:rsidRPr="00033D3E">
        <w:t xml:space="preserve"> lenge </w:t>
      </w:r>
      <w:proofErr w:type="spellStart"/>
      <w:r w:rsidRPr="00033D3E">
        <w:t>pa</w:t>
      </w:r>
      <w:proofErr w:type="spellEnd"/>
      <w:r w:rsidRPr="00033D3E">
        <w:t xml:space="preserve">̊ å gi beskjed om feilen kan det legges til grunn at det ikke er så urimelig for parten. </w:t>
      </w:r>
    </w:p>
    <w:p w14:paraId="76717A78" w14:textId="77777777" w:rsidR="00033D3E" w:rsidRPr="00033D3E" w:rsidRDefault="00033D3E" w:rsidP="00033D3E">
      <w:pPr>
        <w:pStyle w:val="NormalWeb"/>
        <w:spacing w:line="360" w:lineRule="auto"/>
      </w:pPr>
      <w:commentRangeStart w:id="32"/>
      <w:r w:rsidRPr="00033D3E">
        <w:t xml:space="preserve">Etter en helhetlig vurdering av urimelighetskriteriet i avtl. § 36 første ledd er det nærliggende å legge til grunn at avtalen ikke var urimelig for Ferdighus. I vurderingen legges avgjørende vekt </w:t>
      </w:r>
      <w:proofErr w:type="spellStart"/>
      <w:r w:rsidRPr="00033D3E">
        <w:t>pa</w:t>
      </w:r>
      <w:proofErr w:type="spellEnd"/>
      <w:r w:rsidRPr="00033D3E">
        <w:t xml:space="preserve">̊ at partene er begge profesjonelle og at Ferdighus er mest nærliggende å bære risikoen for økte </w:t>
      </w:r>
      <w:proofErr w:type="spellStart"/>
      <w:r w:rsidRPr="00033D3E">
        <w:t>råvarepriser</w:t>
      </w:r>
      <w:proofErr w:type="spellEnd"/>
      <w:r w:rsidRPr="00033D3E">
        <w:t xml:space="preserve">. Hensynet til forutberegnelighet for Peder </w:t>
      </w:r>
      <w:proofErr w:type="spellStart"/>
      <w:r w:rsidRPr="00033D3E">
        <w:t>illegges</w:t>
      </w:r>
      <w:proofErr w:type="spellEnd"/>
      <w:r w:rsidRPr="00033D3E">
        <w:t xml:space="preserve"> </w:t>
      </w:r>
      <w:proofErr w:type="spellStart"/>
      <w:r w:rsidRPr="00033D3E">
        <w:t>ogsa</w:t>
      </w:r>
      <w:proofErr w:type="spellEnd"/>
      <w:r w:rsidRPr="00033D3E">
        <w:t xml:space="preserve">̊ betydelig vekt. </w:t>
      </w:r>
    </w:p>
    <w:p w14:paraId="7A74397D" w14:textId="77777777" w:rsidR="00033D3E" w:rsidRPr="00033D3E" w:rsidRDefault="00033D3E" w:rsidP="00033D3E">
      <w:pPr>
        <w:pStyle w:val="NormalWeb"/>
        <w:spacing w:line="360" w:lineRule="auto"/>
      </w:pPr>
      <w:r w:rsidRPr="00033D3E">
        <w:t xml:space="preserve">Delkonklusjon: avtalen kan ikke settes til side som «urimelig» etter avtalelovens § 36. </w:t>
      </w:r>
      <w:commentRangeEnd w:id="32"/>
      <w:r w:rsidR="00D06CE9">
        <w:rPr>
          <w:rStyle w:val="Merknadsreferanse"/>
          <w:rFonts w:asciiTheme="minorHAnsi" w:eastAsiaTheme="minorHAnsi" w:hAnsiTheme="minorHAnsi" w:cstheme="minorBidi"/>
          <w:lang w:eastAsia="en-US"/>
        </w:rPr>
        <w:commentReference w:id="32"/>
      </w:r>
    </w:p>
    <w:p w14:paraId="57CE5FD4" w14:textId="77777777" w:rsidR="00033D3E" w:rsidRPr="00033D3E" w:rsidRDefault="00033D3E" w:rsidP="00033D3E">
      <w:pPr>
        <w:pStyle w:val="NormalWeb"/>
        <w:spacing w:line="360" w:lineRule="auto"/>
      </w:pPr>
      <w:r w:rsidRPr="00033D3E">
        <w:t xml:space="preserve">Bestemmelsen i § 33 kunne </w:t>
      </w:r>
      <w:proofErr w:type="spellStart"/>
      <w:r w:rsidRPr="00033D3E">
        <w:t>ogsa</w:t>
      </w:r>
      <w:proofErr w:type="spellEnd"/>
      <w:r w:rsidRPr="00033D3E">
        <w:t xml:space="preserve">̊ ha gjort seg gjeldende i foreliggende sak. Den blir derimot ikke drøftet da det </w:t>
      </w:r>
      <w:proofErr w:type="spellStart"/>
      <w:r w:rsidRPr="00033D3E">
        <w:t>ogsa</w:t>
      </w:r>
      <w:proofErr w:type="spellEnd"/>
      <w:r w:rsidRPr="00033D3E">
        <w:t xml:space="preserve">̊ er en svak ugyldighetsgrunn og det ikke foreligger ond tro fra Peder sin side, jf. drøftelsen av § 32. </w:t>
      </w:r>
    </w:p>
    <w:p w14:paraId="233F25C1" w14:textId="77777777" w:rsidR="00033D3E" w:rsidRPr="00033D3E" w:rsidRDefault="00033D3E" w:rsidP="00033D3E">
      <w:pPr>
        <w:pStyle w:val="NormalWeb"/>
        <w:spacing w:line="360" w:lineRule="auto"/>
        <w:rPr>
          <w:u w:val="single"/>
        </w:rPr>
      </w:pPr>
      <w:commentRangeStart w:id="33"/>
      <w:r w:rsidRPr="00033D3E">
        <w:rPr>
          <w:u w:val="single"/>
        </w:rPr>
        <w:t xml:space="preserve">Konklusjon: ingen av ugyldighetsgrunnene i avtalelovens kapittel 3 gjør seg gjeldende. Ferdighus kan dermed ikke anses som ubundet. </w:t>
      </w:r>
      <w:commentRangeEnd w:id="33"/>
      <w:r w:rsidR="000E30C2">
        <w:rPr>
          <w:rStyle w:val="Merknadsreferanse"/>
          <w:rFonts w:asciiTheme="minorHAnsi" w:eastAsiaTheme="minorHAnsi" w:hAnsiTheme="minorHAnsi" w:cstheme="minorBidi"/>
          <w:lang w:eastAsia="en-US"/>
        </w:rPr>
        <w:commentReference w:id="33"/>
      </w:r>
    </w:p>
    <w:p w14:paraId="20C0BE9E" w14:textId="19D56BAC" w:rsidR="00033D3E" w:rsidRDefault="00033D3E" w:rsidP="00033D3E">
      <w:pPr>
        <w:pStyle w:val="NormalWeb"/>
      </w:pPr>
    </w:p>
    <w:p w14:paraId="1C89F7D9" w14:textId="3D479216" w:rsidR="00033D3E" w:rsidRPr="00033D3E" w:rsidRDefault="00033D3E" w:rsidP="00033D3E">
      <w:pPr>
        <w:rPr>
          <w:rFonts w:ascii="Times New Roman" w:hAnsi="Times New Roman" w:cs="Times New Roman"/>
          <w:color w:val="000000" w:themeColor="text1"/>
          <w:lang w:eastAsia="nb-NO"/>
        </w:rPr>
      </w:pPr>
    </w:p>
    <w:sectPr w:rsidR="00033D3E" w:rsidRPr="00033D3E"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MS Kluge" w:date="2023-04-24T11:01:00Z" w:initials="CMS">
    <w:p w14:paraId="38EEE837" w14:textId="77777777" w:rsidR="00381E9B" w:rsidRDefault="00381E9B">
      <w:pPr>
        <w:pStyle w:val="Merknadstekst"/>
      </w:pPr>
      <w:r>
        <w:rPr>
          <w:rStyle w:val="Merknadsreferanse"/>
        </w:rPr>
        <w:annotationRef/>
      </w:r>
      <w:r>
        <w:t xml:space="preserve">Fint å tidlig kommunisere hvor i avtaleretten man befinner seg, for å deretter snevre inn mot hva som er oppgavens hovedtema. </w:t>
      </w:r>
    </w:p>
    <w:p w14:paraId="41386028" w14:textId="77777777" w:rsidR="00381E9B" w:rsidRDefault="00381E9B">
      <w:pPr>
        <w:pStyle w:val="Merknadstekst"/>
      </w:pPr>
    </w:p>
    <w:p w14:paraId="670B7E27" w14:textId="5CFA4226" w:rsidR="00381E9B" w:rsidRDefault="00381E9B">
      <w:pPr>
        <w:pStyle w:val="Merknadstekst"/>
      </w:pPr>
      <w:r>
        <w:t xml:space="preserve">Savner imidlertid en kort forankring av prinsippet om at man kun kan foreta disposisjoner som binder en selv. Det kunne </w:t>
      </w:r>
      <w:r w:rsidR="00291C85">
        <w:t xml:space="preserve">fint vært gjort ved å innta en henvisning til avtalelovens kapittel 2, hvor systemet er bygd opp slik at det må foreligge en form for hjemmel dersom man skal foreta en disposisjon som binder andre enn seg selv. </w:t>
      </w:r>
    </w:p>
  </w:comment>
  <w:comment w:id="2" w:author="CMS Kluge" w:date="2023-04-24T11:14:00Z" w:initials="CMS">
    <w:p w14:paraId="07C88CFE" w14:textId="0F082C5C" w:rsidR="00291C85" w:rsidRDefault="00291C85">
      <w:pPr>
        <w:pStyle w:val="Merknadstekst"/>
      </w:pPr>
      <w:r>
        <w:rPr>
          <w:rStyle w:val="Merknadsreferanse"/>
        </w:rPr>
        <w:annotationRef/>
      </w:r>
      <w:r>
        <w:t xml:space="preserve">Pirk – Vær oppmerksom på riktig bruk av pronomen dersom det skal brukes. Anbefaler å velge enten «jeg» eller den mer upersonlige «oppgaven». Det viktigste er imidlertid at det brukes konsekvent. </w:t>
      </w:r>
    </w:p>
  </w:comment>
  <w:comment w:id="1" w:author="CMS Kluge" w:date="2023-04-24T11:20:00Z" w:initials="CMS">
    <w:p w14:paraId="7EC2B688" w14:textId="77777777" w:rsidR="009535D3" w:rsidRDefault="009535D3">
      <w:pPr>
        <w:pStyle w:val="Merknadstekst"/>
      </w:pPr>
      <w:r>
        <w:rPr>
          <w:rStyle w:val="Merknadsreferanse"/>
        </w:rPr>
        <w:annotationRef/>
      </w:r>
      <w:r>
        <w:t xml:space="preserve">Selv om eksamen ikke er å anse som en rettskrivingskonkurranse er det viktig for helhetsinntrykket å ha et godt språk. Eksamenssituasjonen er stressende, men det anbefales å sette av tid til en rask gjennomlesning for å luke ut de mest åpenbare skrivefeilene. </w:t>
      </w:r>
    </w:p>
    <w:p w14:paraId="7D33E69E" w14:textId="77777777" w:rsidR="009535D3" w:rsidRDefault="009535D3">
      <w:pPr>
        <w:pStyle w:val="Merknadstekst"/>
      </w:pPr>
    </w:p>
    <w:p w14:paraId="6BF3599D" w14:textId="67135A9B" w:rsidR="009535D3" w:rsidRDefault="009535D3">
      <w:pPr>
        <w:pStyle w:val="Merknadstekst"/>
      </w:pPr>
      <w:r>
        <w:t xml:space="preserve">Teksten vil da flyte bedre, samtidig som at sensors helhetsinntrykk vil styrkes.  </w:t>
      </w:r>
    </w:p>
  </w:comment>
  <w:comment w:id="3" w:author="CMS Kluge" w:date="2023-04-24T12:35:00Z" w:initials="CMS">
    <w:p w14:paraId="567CB44E" w14:textId="77777777" w:rsidR="00C933B6" w:rsidRDefault="00C933B6">
      <w:pPr>
        <w:pStyle w:val="Merknadstekst"/>
      </w:pPr>
      <w:r>
        <w:rPr>
          <w:rStyle w:val="Merknadsreferanse"/>
        </w:rPr>
        <w:annotationRef/>
      </w:r>
      <w:r>
        <w:t xml:space="preserve">Dette blir upresist. Det er begrepet forskrift som brukes i avtaleloven. Av den grunn ville jeg startet i avtaleloven § 11 og definert hva som der menes med begrepet «forskrift». </w:t>
      </w:r>
    </w:p>
    <w:p w14:paraId="5ED0A8CA" w14:textId="77777777" w:rsidR="00C933B6" w:rsidRDefault="00C933B6">
      <w:pPr>
        <w:pStyle w:val="Merknadstekst"/>
      </w:pPr>
    </w:p>
    <w:p w14:paraId="10A0A823" w14:textId="77777777" w:rsidR="00C933B6" w:rsidRDefault="00C933B6">
      <w:pPr>
        <w:pStyle w:val="Merknadstekst"/>
      </w:pPr>
      <w:r>
        <w:t>Her er det rom for å vise gode metodiske kunnskaper da en ren ordlydsforståelse delvis avviker fra hvordan begrepet faktisk er ment. En alminnelig forståelse av forskrift vil typisk innebære at det dreier seg om noen former for regler. Ser man imidlertid begrepet i den konteksten det er satt ser man at «forskrift» snarere er en instruks som fullmektigen har fått fra fullmaktsgiver.</w:t>
      </w:r>
    </w:p>
    <w:p w14:paraId="1D4394E1" w14:textId="77777777" w:rsidR="00C933B6" w:rsidRDefault="00C933B6">
      <w:pPr>
        <w:pStyle w:val="Merknadstekst"/>
      </w:pPr>
    </w:p>
    <w:p w14:paraId="32F73AA6" w14:textId="2F5AFEFC" w:rsidR="00C933B6" w:rsidRDefault="00C933B6">
      <w:pPr>
        <w:pStyle w:val="Merknadstekst"/>
      </w:pPr>
      <w:r>
        <w:t xml:space="preserve">Ved en slik tilnærmingsmåte forholder man seg tett primærkilden samtidig som kandidaten får anledning til å vise metodiske ferdigheter. </w:t>
      </w:r>
    </w:p>
  </w:comment>
  <w:comment w:id="4" w:author="CMS Kluge" w:date="2023-04-24T12:42:00Z" w:initials="CMS">
    <w:p w14:paraId="50F4E6FB" w14:textId="5C6E4E09" w:rsidR="00C933B6" w:rsidRDefault="00C933B6">
      <w:pPr>
        <w:pStyle w:val="Merknadstekst"/>
      </w:pPr>
      <w:r>
        <w:rPr>
          <w:rStyle w:val="Merknadsreferanse"/>
        </w:rPr>
        <w:annotationRef/>
      </w:r>
      <w:r>
        <w:t xml:space="preserve">Fint og kort om de forskjellige typer fullmakt. For å tydeliggjøre ytterligere kunne kandidaten med fordel kort eksemplifisert hvilke situasjoner de forskjellige fullmaktene egner seg best for. </w:t>
      </w:r>
    </w:p>
  </w:comment>
  <w:comment w:id="5" w:author="CMS Kluge" w:date="2023-04-24T12:44:00Z" w:initials="CMS">
    <w:p w14:paraId="0EB4A0DD" w14:textId="77ABBC93" w:rsidR="00C933B6" w:rsidRPr="00AC0A1E" w:rsidRDefault="00C933B6">
      <w:pPr>
        <w:pStyle w:val="Merknadstekst"/>
      </w:pPr>
      <w:r>
        <w:rPr>
          <w:rStyle w:val="Merknadsreferanse"/>
        </w:rPr>
        <w:annotationRef/>
      </w:r>
      <w:r>
        <w:t xml:space="preserve">For å pirke ytterligere. Dersom man skal bruke overskrifter i teksten bør de helst skille seg ut fra brødteksten. Anbefaler dermed å enten bruke ytterligere </w:t>
      </w:r>
      <w:r w:rsidR="00AC0A1E">
        <w:t xml:space="preserve">underoverskrifter eksempelvis 2.2.1 «Stillingsfullmakt», eventuelt å fremheve teksten i fet skrift eller med understrek. </w:t>
      </w:r>
    </w:p>
  </w:comment>
  <w:comment w:id="6" w:author="CMS Kluge" w:date="2023-04-24T12:47:00Z" w:initials="CMS">
    <w:p w14:paraId="0CDC6E85" w14:textId="5C637777" w:rsidR="00AC0A1E" w:rsidRDefault="00AC0A1E">
      <w:pPr>
        <w:pStyle w:val="Merknadstekst"/>
      </w:pPr>
      <w:r>
        <w:rPr>
          <w:rStyle w:val="Merknadsreferanse"/>
        </w:rPr>
        <w:annotationRef/>
      </w:r>
      <w:r>
        <w:t>Kandidaten går</w:t>
      </w:r>
      <w:r w:rsidR="00426170">
        <w:t xml:space="preserve"> gjennom de forskjellige fullmaktene</w:t>
      </w:r>
      <w:r>
        <w:t>. Det blir imidlertid litt knapt da kandidaten</w:t>
      </w:r>
      <w:r w:rsidR="00426170">
        <w:t xml:space="preserve"> ikke gjengir de aktuelle bestemmelsene, og heller ikke foretar noen form for tolkning av de relevante vilkår.</w:t>
      </w:r>
    </w:p>
    <w:p w14:paraId="37566B5B" w14:textId="77777777" w:rsidR="00426170" w:rsidRDefault="00426170">
      <w:pPr>
        <w:pStyle w:val="Merknadstekst"/>
      </w:pPr>
    </w:p>
    <w:p w14:paraId="126E5D93" w14:textId="44928406" w:rsidR="00426170" w:rsidRDefault="00426170">
      <w:pPr>
        <w:pStyle w:val="Merknadstekst"/>
      </w:pPr>
      <w:r>
        <w:t xml:space="preserve">Det hadde vært fordelaktig dersom kandidaten gikk dypere inn i de enkelte vilkårene. Da kunne kandidaten heller knyttet kjennetegnene på de enkelte fullmaktene direkte til de aktuelle vilkår, snarere enn å ta en mer generell gjennomgang av den enkelte </w:t>
      </w:r>
      <w:r>
        <w:t xml:space="preserve">fullmaktstype. </w:t>
      </w:r>
    </w:p>
  </w:comment>
  <w:comment w:id="7" w:author="CMS Kluge" w:date="2023-04-24T14:33:00Z" w:initials="CMS">
    <w:p w14:paraId="55D1741D" w14:textId="77777777" w:rsidR="00426170" w:rsidRDefault="00426170">
      <w:pPr>
        <w:pStyle w:val="Merknadstekst"/>
      </w:pPr>
      <w:r>
        <w:rPr>
          <w:rStyle w:val="Merknadsreferanse"/>
        </w:rPr>
        <w:annotationRef/>
      </w:r>
      <w:r>
        <w:t xml:space="preserve">Pirk, men vanskelig å kategorisere hva som er rekkefølgen på forskjellene. Husk at det skrives en teorioppgave, og forsøk av den grunn å forklare din struktur til leseren. </w:t>
      </w:r>
    </w:p>
    <w:p w14:paraId="0D37BA0D" w14:textId="77777777" w:rsidR="00426170" w:rsidRDefault="00426170">
      <w:pPr>
        <w:pStyle w:val="Merknadstekst"/>
      </w:pPr>
    </w:p>
    <w:p w14:paraId="43DFB9A3" w14:textId="20047131" w:rsidR="00426170" w:rsidRDefault="00426170">
      <w:pPr>
        <w:pStyle w:val="Merknadstekst"/>
      </w:pPr>
      <w:r>
        <w:t>Dersom kandidaten kort presiserer at «Oppgaven skal videre ta for seg fire ulikheter mellom de lovfestede fullmaktene. Den første forskjellen som skal behandles er</w:t>
      </w:r>
      <w:r>
        <w:t xml:space="preserve"> ….», så vil leseren lettere plukke opp de materielle poengene som presenteres. </w:t>
      </w:r>
    </w:p>
  </w:comment>
  <w:comment w:id="8" w:author="CMS Kluge" w:date="2023-04-24T14:37:00Z" w:initials="CMS">
    <w:p w14:paraId="40D1937F" w14:textId="50259581" w:rsidR="00426170" w:rsidRDefault="00426170">
      <w:pPr>
        <w:pStyle w:val="Merknadstekst"/>
      </w:pPr>
      <w:r>
        <w:rPr>
          <w:rStyle w:val="Merknadsreferanse"/>
        </w:rPr>
        <w:annotationRef/>
      </w:r>
      <w:r>
        <w:t xml:space="preserve">Her bør kandidaten i hvert fall nevne minst et eksempel. Går litt fort i svingene her, og kan minne mer om en oppramsing av forskjeller snarere enn en redegjørelse av forskjellene. </w:t>
      </w:r>
    </w:p>
  </w:comment>
  <w:comment w:id="9" w:author="CMS Kluge" w:date="2023-04-24T14:38:00Z" w:initials="CMS">
    <w:p w14:paraId="4CE567AE" w14:textId="6A58D674" w:rsidR="00426170" w:rsidRDefault="00426170">
      <w:pPr>
        <w:pStyle w:val="Merknadstekst"/>
      </w:pPr>
      <w:r>
        <w:rPr>
          <w:rStyle w:val="Merknadsreferanse"/>
        </w:rPr>
        <w:annotationRef/>
      </w:r>
      <w:r>
        <w:t xml:space="preserve">Her </w:t>
      </w:r>
      <w:r w:rsidR="00591117">
        <w:t xml:space="preserve">holder kandidaten seg tettere til lovteksten, det er fornuftig. Savner imidlertid fremdeles at de relevante delene av lovteksten blir presentert. </w:t>
      </w:r>
    </w:p>
  </w:comment>
  <w:comment w:id="10" w:author="CMS Kluge" w:date="2023-04-24T14:46:00Z" w:initials="CMS">
    <w:p w14:paraId="6127C6B0" w14:textId="599556EE" w:rsidR="00794230" w:rsidRDefault="00794230">
      <w:pPr>
        <w:pStyle w:val="Merknadstekst"/>
      </w:pPr>
      <w:r>
        <w:rPr>
          <w:rStyle w:val="Merknadsreferanse"/>
        </w:rPr>
        <w:annotationRef/>
      </w:r>
      <w:r>
        <w:t xml:space="preserve">Godt at kandidaten ikke bare </w:t>
      </w:r>
      <w:r>
        <w:t xml:space="preserve">fokuserer på de diverse formkrav, men også går inn på konsekvensforskjellen. </w:t>
      </w:r>
    </w:p>
  </w:comment>
  <w:comment w:id="11" w:author="CMS Kluge" w:date="2023-04-24T14:36:00Z" w:initials="CMS">
    <w:p w14:paraId="1C443903" w14:textId="2C979F2E" w:rsidR="00C06D32" w:rsidRDefault="00426170">
      <w:pPr>
        <w:pStyle w:val="Merknadstekst"/>
      </w:pPr>
      <w:r>
        <w:rPr>
          <w:rStyle w:val="Merknadsreferanse"/>
        </w:rPr>
        <w:annotationRef/>
      </w:r>
      <w:r w:rsidR="00C06D32">
        <w:t xml:space="preserve">Samlet får kandidaten med seg en rekke av de sentrale </w:t>
      </w:r>
      <w:r w:rsidR="00BE42FA">
        <w:t xml:space="preserve">forskjellene mellom de lovfestede fullmaktene. </w:t>
      </w:r>
    </w:p>
    <w:p w14:paraId="707B77B9" w14:textId="77777777" w:rsidR="00BE42FA" w:rsidRDefault="00BE42FA">
      <w:pPr>
        <w:pStyle w:val="Merknadstekst"/>
      </w:pPr>
    </w:p>
    <w:p w14:paraId="45966CFA" w14:textId="1EACCD9A" w:rsidR="00BE42FA" w:rsidRDefault="00BE42FA">
      <w:pPr>
        <w:pStyle w:val="Merknadstekst"/>
      </w:pPr>
      <w:r>
        <w:t>Likevel bærer oppgaven preg av at det har gått litt vell fo</w:t>
      </w:r>
      <w:r w:rsidR="007A2DFF">
        <w:t xml:space="preserve">rt. Oppgaven ville vært løftet noen hakk dersom kandidaten tok seg tid til </w:t>
      </w:r>
      <w:r w:rsidR="003A216B">
        <w:t>en kort språkvask, i tillegg til å holde seg tettere opp mot den lovtekst som det ble redegjort for.</w:t>
      </w:r>
    </w:p>
    <w:p w14:paraId="63B1D523" w14:textId="77777777" w:rsidR="00DB3742" w:rsidRDefault="00DB3742">
      <w:pPr>
        <w:pStyle w:val="Merknadstekst"/>
      </w:pPr>
    </w:p>
    <w:p w14:paraId="1D5F602A" w14:textId="3D5564E7" w:rsidR="00DB3742" w:rsidRDefault="00DB3742">
      <w:pPr>
        <w:pStyle w:val="Merknadstekst"/>
      </w:pPr>
      <w:r>
        <w:t>Når oppgaven etterspør en redegjørelse av lovfestede fullmakter, er det ofte lurt å knytte teksten tett opp mot selve lovfestingen. Et par ordlydstolkninger av de viktigste vilkårene ville dermed bidratt til at oppgaven</w:t>
      </w:r>
      <w:r w:rsidR="000310D7">
        <w:t xml:space="preserve"> i større grad kunne sies å ha redegjort for </w:t>
      </w:r>
      <w:r w:rsidR="009770FE">
        <w:t xml:space="preserve">forskjellene. </w:t>
      </w:r>
    </w:p>
    <w:p w14:paraId="568FBC09" w14:textId="77777777" w:rsidR="009770FE" w:rsidRDefault="009770FE">
      <w:pPr>
        <w:pStyle w:val="Merknadstekst"/>
      </w:pPr>
    </w:p>
    <w:p w14:paraId="651B73BF" w14:textId="77777777" w:rsidR="00426170" w:rsidRDefault="009770FE">
      <w:pPr>
        <w:pStyle w:val="Merknadstekst"/>
      </w:pPr>
      <w:r>
        <w:t xml:space="preserve">Strukturen i oppgaven er i utgangspunktet bra da kandidaten kort får presentert de </w:t>
      </w:r>
      <w:r>
        <w:t>fullmaktstypene som vedkommende senere vil</w:t>
      </w:r>
      <w:r w:rsidR="00235CDB">
        <w:t xml:space="preserve"> presentere forskjeller mellom. </w:t>
      </w:r>
    </w:p>
    <w:p w14:paraId="19C686BD" w14:textId="77777777" w:rsidR="00235CDB" w:rsidRDefault="00235CDB">
      <w:pPr>
        <w:pStyle w:val="Merknadstekst"/>
      </w:pPr>
    </w:p>
    <w:p w14:paraId="657730ED" w14:textId="141E13F9" w:rsidR="00235CDB" w:rsidRDefault="00235CDB">
      <w:pPr>
        <w:pStyle w:val="Merknadstekst"/>
      </w:pPr>
      <w:r>
        <w:t xml:space="preserve">Likevel kan det ved slike oppgavetyper også være hensiktsmessig med en litt grundig presentasjon av en av fullmaktstypene, før de øvrige presentasjonene blir brukt til å </w:t>
      </w:r>
      <w:r w:rsidR="009B1D5F">
        <w:t xml:space="preserve">vurdere forskjellene mot de typene som allerede er gjennomgått. På den måten unngår man unødvendig gjentakelse. </w:t>
      </w:r>
    </w:p>
  </w:comment>
  <w:comment w:id="12" w:author="CMS Kluge" w:date="2023-04-24T15:16:00Z" w:initials="CMS">
    <w:p w14:paraId="2C1846EE" w14:textId="6EB03ECE" w:rsidR="00867F15" w:rsidRDefault="00867F15">
      <w:pPr>
        <w:pStyle w:val="Merknadstekst"/>
      </w:pPr>
      <w:r>
        <w:rPr>
          <w:rStyle w:val="Merknadsreferanse"/>
        </w:rPr>
        <w:annotationRef/>
      </w:r>
      <w:r>
        <w:t xml:space="preserve">Dette her er ikke nødvendig. Kandidaten kan forvente at sensor er kjent med sakens faktum, og kandidaten trenger dermed ikke å gjengi dette. Samtidig bør oppgaven </w:t>
      </w:r>
      <w:r>
        <w:t>fokusere på det som blir problematisert. Det blir dermed lite treffende å gå ta opp fullmaktsreglene her.</w:t>
      </w:r>
    </w:p>
  </w:comment>
  <w:comment w:id="13" w:author="CMS Kluge" w:date="2023-04-24T15:18:00Z" w:initials="CMS">
    <w:p w14:paraId="19B3A4B6" w14:textId="3151F66E" w:rsidR="00EE0201" w:rsidRDefault="00EE0201">
      <w:pPr>
        <w:pStyle w:val="Merknadstekst"/>
      </w:pPr>
      <w:r>
        <w:rPr>
          <w:rStyle w:val="Merknadsreferanse"/>
        </w:rPr>
        <w:annotationRef/>
      </w:r>
      <w:r>
        <w:t xml:space="preserve">Fint, </w:t>
      </w:r>
      <w:r w:rsidR="009529AE">
        <w:t xml:space="preserve">kandidaten viser til den aktuelle </w:t>
      </w:r>
      <w:r w:rsidR="00FB12F8">
        <w:t xml:space="preserve">rettspraksis på området. </w:t>
      </w:r>
    </w:p>
  </w:comment>
  <w:comment w:id="14" w:author="CMS Kluge" w:date="2023-04-24T15:19:00Z" w:initials="CMS">
    <w:p w14:paraId="7A71A704" w14:textId="594193AA" w:rsidR="00802231" w:rsidRDefault="00802231">
      <w:pPr>
        <w:pStyle w:val="Merknadstekst"/>
      </w:pPr>
      <w:r>
        <w:rPr>
          <w:rStyle w:val="Merknadsreferanse"/>
        </w:rPr>
        <w:annotationRef/>
      </w:r>
      <w:r w:rsidR="006D0988">
        <w:t xml:space="preserve">Viktig med underproblemstillinger som viser leseren hvilken vei kandidaten ønsker å gå. Imidlertid må kandidaten skille mellom overordnede og underordnede spørsmål. Det ser litt kunstig ut at det er to overordnede spørsmål med to avsnitt mellom hverandre. </w:t>
      </w:r>
    </w:p>
  </w:comment>
  <w:comment w:id="15" w:author="CMS Kluge" w:date="2023-04-24T15:22:00Z" w:initials="CMS">
    <w:p w14:paraId="4F35FC03" w14:textId="271CFE5F" w:rsidR="00B92C40" w:rsidRDefault="00B92C40">
      <w:pPr>
        <w:pStyle w:val="Merknadstekst"/>
      </w:pPr>
      <w:r>
        <w:rPr>
          <w:rStyle w:val="Merknadsreferanse"/>
        </w:rPr>
        <w:annotationRef/>
      </w:r>
      <w:r>
        <w:t xml:space="preserve">Igjen, litt voldsom spørsmålsstilling. Helst unngå å stille det samme spørsmålet to ganger, og heller knytte mer av faktum opp mot den samme spørsmålsstillingen. </w:t>
      </w:r>
    </w:p>
  </w:comment>
  <w:comment w:id="16" w:author="CMS Kluge" w:date="2023-04-24T15:23:00Z" w:initials="CMS">
    <w:p w14:paraId="62F00447" w14:textId="25053347" w:rsidR="004A7FC4" w:rsidRDefault="004A7FC4">
      <w:pPr>
        <w:pStyle w:val="Merknadstekst"/>
      </w:pPr>
      <w:r>
        <w:rPr>
          <w:rStyle w:val="Merknadsreferanse"/>
        </w:rPr>
        <w:annotationRef/>
      </w:r>
      <w:r>
        <w:t xml:space="preserve">Her er kandidaten innom de viktigste kildene </w:t>
      </w:r>
      <w:r w:rsidR="000E3F73">
        <w:t>knyttet til digital avtaleinngåelse. For å heve besvarelsen ytterligere savner jeg en</w:t>
      </w:r>
      <w:r w:rsidR="009124BA">
        <w:t xml:space="preserve"> nærmere redegjørelse av innholdet i de nevnte kildene. </w:t>
      </w:r>
    </w:p>
  </w:comment>
  <w:comment w:id="17" w:author="CMS Kluge" w:date="2023-04-24T15:28:00Z" w:initials="CMS">
    <w:p w14:paraId="6E847256" w14:textId="1463ADA3" w:rsidR="002A3FDD" w:rsidRDefault="00EB355C">
      <w:pPr>
        <w:pStyle w:val="Merknadstekst"/>
      </w:pPr>
      <w:r>
        <w:rPr>
          <w:rStyle w:val="Merknadsreferanse"/>
        </w:rPr>
        <w:annotationRef/>
      </w:r>
      <w:r>
        <w:t>Her er kandidaten god. Trekker frem relevant praksis og viser hva som kan trekkes ut fra disse. Før kandidaten deretter ser praksisen opp mot den aktuelle problemstillingen og klargjør for leser hvilk</w:t>
      </w:r>
      <w:r w:rsidR="002A3FDD">
        <w:t xml:space="preserve">e punkter som er av relevans videre. </w:t>
      </w:r>
    </w:p>
  </w:comment>
  <w:comment w:id="18" w:author="CMS Kluge" w:date="2023-04-24T15:29:00Z" w:initials="CMS">
    <w:p w14:paraId="5D3D49DB" w14:textId="77777777" w:rsidR="00F64CEB" w:rsidRDefault="00F64CEB">
      <w:pPr>
        <w:pStyle w:val="Merknadstekst"/>
      </w:pPr>
      <w:r>
        <w:rPr>
          <w:rStyle w:val="Merknadsreferanse"/>
        </w:rPr>
        <w:annotationRef/>
      </w:r>
      <w:r>
        <w:t xml:space="preserve">Kandidaten får frem en rekke gode poenger i drøftelsen. Vedkommende er innom de viktigste kildene, og bruker vurderingstemaet som presenteres i starten gjennomgående i oppgaven. </w:t>
      </w:r>
    </w:p>
    <w:p w14:paraId="2DD36252" w14:textId="77777777" w:rsidR="00F64CEB" w:rsidRDefault="00F64CEB">
      <w:pPr>
        <w:pStyle w:val="Merknadstekst"/>
      </w:pPr>
    </w:p>
    <w:p w14:paraId="1136951D" w14:textId="23DE5012" w:rsidR="00F64CEB" w:rsidRDefault="0019125C">
      <w:pPr>
        <w:pStyle w:val="Merknadstekst"/>
      </w:pPr>
      <w:r>
        <w:t xml:space="preserve">Det kan nevnes at kandidaten kunne gått dypere inn i vurderingen av «den grønne knappen». Ser man knappen opp mot all informasjon som allerede er lagt inn </w:t>
      </w:r>
      <w:r w:rsidR="000B34DD">
        <w:t>–</w:t>
      </w:r>
      <w:r>
        <w:t xml:space="preserve"> pris</w:t>
      </w:r>
      <w:r w:rsidR="000B34DD">
        <w:t xml:space="preserve">, spesifikasjoner, tid og sted, kredittkortinformasjon – trekker det i retning av at Peder må forstå at </w:t>
      </w:r>
      <w:r w:rsidR="0087428B">
        <w:t xml:space="preserve">det er blir inngått en bindende avtale.  </w:t>
      </w:r>
    </w:p>
  </w:comment>
  <w:comment w:id="19" w:author="CMS Kluge" w:date="2023-04-24T15:34:00Z" w:initials="CMS">
    <w:p w14:paraId="7D6385DC" w14:textId="72E9C2F1" w:rsidR="0040266E" w:rsidRDefault="0040266E">
      <w:pPr>
        <w:pStyle w:val="Merknadstekst"/>
      </w:pPr>
      <w:r>
        <w:rPr>
          <w:rStyle w:val="Merknadsreferanse"/>
        </w:rPr>
        <w:annotationRef/>
      </w:r>
      <w:r>
        <w:t>Igjen, dette vet sensor. Hopp rett til det overordnede spørsmålet</w:t>
      </w:r>
      <w:r w:rsidR="00BB46C0">
        <w:t xml:space="preserve">. Det blir da samtidig bedre flyt i oppgaven. </w:t>
      </w:r>
    </w:p>
  </w:comment>
  <w:comment w:id="20" w:author="CMS Kluge" w:date="2023-04-24T15:36:00Z" w:initials="CMS">
    <w:p w14:paraId="3829F676" w14:textId="50A45B99" w:rsidR="00D80363" w:rsidRDefault="00D80363">
      <w:pPr>
        <w:pStyle w:val="Merknadstekst"/>
      </w:pPr>
      <w:r>
        <w:rPr>
          <w:rStyle w:val="Merknadsreferanse"/>
        </w:rPr>
        <w:annotationRef/>
      </w:r>
      <w:r>
        <w:t xml:space="preserve">Fint å slå fast dette innledningsvis </w:t>
      </w:r>
    </w:p>
  </w:comment>
  <w:comment w:id="21" w:author="CMS Kluge" w:date="2023-04-24T15:39:00Z" w:initials="CMS">
    <w:p w14:paraId="1A75A776" w14:textId="47024B54" w:rsidR="000F456D" w:rsidRDefault="000F456D">
      <w:pPr>
        <w:pStyle w:val="Merknadstekst"/>
      </w:pPr>
      <w:r>
        <w:rPr>
          <w:rStyle w:val="Merknadsreferanse"/>
        </w:rPr>
        <w:annotationRef/>
      </w:r>
      <w:r>
        <w:t>Fint</w:t>
      </w:r>
      <w:r w:rsidR="002E7F34">
        <w:t>. K</w:t>
      </w:r>
      <w:r>
        <w:t>andidaten finner raskt de to relevante ugyldighetsgrunnene</w:t>
      </w:r>
      <w:r w:rsidR="002E7F34">
        <w:t xml:space="preserve">, og kan dermed </w:t>
      </w:r>
      <w:r w:rsidR="00893938">
        <w:t xml:space="preserve">gå i gang med vurderingen av de relevante forhold. </w:t>
      </w:r>
    </w:p>
  </w:comment>
  <w:comment w:id="22" w:author="CMS Kluge" w:date="2023-04-24T15:37:00Z" w:initials="CMS">
    <w:p w14:paraId="1F2D78B1" w14:textId="61648AF0" w:rsidR="00C13DD4" w:rsidRDefault="00C13DD4">
      <w:pPr>
        <w:pStyle w:val="Merknadstekst"/>
      </w:pPr>
      <w:r>
        <w:rPr>
          <w:rStyle w:val="Merknadsreferanse"/>
        </w:rPr>
        <w:annotationRef/>
      </w:r>
      <w:r>
        <w:t xml:space="preserve">Dette kommer litt brått på. Hvorfor må det stadfestes her? Poenget er godt, men prøv heller å knytt det opp mot de bestemte vilkårene i bestemmelsen. For eksempel </w:t>
      </w:r>
      <w:r w:rsidR="00FA31EB">
        <w:t xml:space="preserve">«viljeserklæring» og at også en erklæring gitt over nett er like bindende som om den var gjort skriftlig eller muntlig. </w:t>
      </w:r>
    </w:p>
  </w:comment>
  <w:comment w:id="23" w:author="CMS Kluge" w:date="2023-04-24T15:41:00Z" w:initials="CMS">
    <w:p w14:paraId="3CB60548" w14:textId="3AD7C10D" w:rsidR="00842BEF" w:rsidRDefault="00842BEF">
      <w:pPr>
        <w:pStyle w:val="Merknadstekst"/>
      </w:pPr>
      <w:r>
        <w:rPr>
          <w:rStyle w:val="Merknadsreferanse"/>
        </w:rPr>
        <w:annotationRef/>
      </w:r>
      <w:r>
        <w:t xml:space="preserve">Her gjør kandidaten det jeg har vært inne på tidligere. Presenterer lovteksten og forholder seg lojalt til den. </w:t>
      </w:r>
      <w:r w:rsidR="000C3235">
        <w:t xml:space="preserve">Det tydeliggjør for leseren hva som vurderes, og hvorfor kandidaten konkluderer som vedkommende gjør. </w:t>
      </w:r>
    </w:p>
  </w:comment>
  <w:comment w:id="24" w:author="CMS Kluge" w:date="2023-04-24T15:43:00Z" w:initials="CMS">
    <w:p w14:paraId="6FDAA882" w14:textId="3BD3DB88" w:rsidR="006A1A63" w:rsidRDefault="006A1A63">
      <w:pPr>
        <w:pStyle w:val="Merknadstekst"/>
      </w:pPr>
      <w:r>
        <w:rPr>
          <w:rStyle w:val="Merknadsreferanse"/>
        </w:rPr>
        <w:annotationRef/>
      </w:r>
      <w:r>
        <w:t xml:space="preserve">Dette blir litt spekulativt. Vi vet ikke om han har reagert eller ikke, å trekke slutninger fra det blir unødvendig når faktum har gitt en del relevante forhold å se hen til. </w:t>
      </w:r>
    </w:p>
  </w:comment>
  <w:comment w:id="25" w:author="CMS Kluge" w:date="2023-04-24T15:45:00Z" w:initials="CMS">
    <w:p w14:paraId="45BAE179" w14:textId="7EAD027F" w:rsidR="009D55F1" w:rsidRDefault="009D55F1">
      <w:pPr>
        <w:pStyle w:val="Merknadstekst"/>
      </w:pPr>
      <w:r>
        <w:rPr>
          <w:rStyle w:val="Merknadsreferanse"/>
        </w:rPr>
        <w:annotationRef/>
      </w:r>
      <w:r w:rsidR="000D2704">
        <w:t>Som sagt vet vi ikke om Peder ga noe uttrykk for at han syntes prisen var lav eller ikke. Ville av den grunn heller</w:t>
      </w:r>
      <w:r w:rsidR="00A96C3B">
        <w:t xml:space="preserve"> formulert det som at «man ikke har noen holdepunkter for at Peder ikke var i god tro». </w:t>
      </w:r>
      <w:r>
        <w:t xml:space="preserve"> </w:t>
      </w:r>
    </w:p>
  </w:comment>
  <w:comment w:id="26" w:author="CMS Kluge" w:date="2023-04-24T15:49:00Z" w:initials="CMS">
    <w:p w14:paraId="1D5F8915" w14:textId="7C856C86" w:rsidR="008027E1" w:rsidRDefault="008027E1">
      <w:pPr>
        <w:pStyle w:val="Merknadstekst"/>
      </w:pPr>
      <w:r>
        <w:rPr>
          <w:rStyle w:val="Merknadsreferanse"/>
        </w:rPr>
        <w:annotationRef/>
      </w:r>
      <w:r w:rsidR="00C17D74">
        <w:t xml:space="preserve">Kandidaten får med seg de viktigste poengene ved § 36 ved sin gjennomgang her. </w:t>
      </w:r>
    </w:p>
  </w:comment>
  <w:comment w:id="27" w:author="CMS Kluge" w:date="2023-04-24T15:50:00Z" w:initials="CMS">
    <w:p w14:paraId="5D45CDE9" w14:textId="77777777" w:rsidR="00C17D74" w:rsidRDefault="00C17D74">
      <w:pPr>
        <w:pStyle w:val="Merknadstekst"/>
      </w:pPr>
      <w:r>
        <w:rPr>
          <w:rStyle w:val="Merknadsreferanse"/>
        </w:rPr>
        <w:annotationRef/>
      </w:r>
      <w:r>
        <w:t xml:space="preserve">Høy terskel til hva? Bruken av begrepet terskel er litt omstridt da det språklig må kobles opp mot noe for at det egentlig skal gi mening. </w:t>
      </w:r>
    </w:p>
    <w:p w14:paraId="11E5DAFD" w14:textId="77777777" w:rsidR="00C17D74" w:rsidRDefault="00C17D74">
      <w:pPr>
        <w:pStyle w:val="Merknadstekst"/>
      </w:pPr>
    </w:p>
    <w:p w14:paraId="263ACFD2" w14:textId="77777777" w:rsidR="00C17D74" w:rsidRDefault="00D97E90">
      <w:pPr>
        <w:pStyle w:val="Merknadstekst"/>
      </w:pPr>
      <w:r>
        <w:t xml:space="preserve">Her ville det vært lurt </w:t>
      </w:r>
      <w:r>
        <w:t xml:space="preserve">å knyttet det opp mot hovedprinsippet i avtaleretten – avtaler skal holdes. </w:t>
      </w:r>
      <w:r w:rsidR="00906F7D">
        <w:t xml:space="preserve">Da hovedregelen er at avtaler skal holdes skal det mye til for å anse en avtale for ugyldig, av den grunn er det en høy terskel for å anvende § 36. </w:t>
      </w:r>
    </w:p>
    <w:p w14:paraId="6C9C6893" w14:textId="77777777" w:rsidR="00906F7D" w:rsidRDefault="00906F7D">
      <w:pPr>
        <w:pStyle w:val="Merknadstekst"/>
      </w:pPr>
    </w:p>
    <w:p w14:paraId="25A15E5F" w14:textId="1EB6DB31" w:rsidR="00906F7D" w:rsidRDefault="00906F7D">
      <w:pPr>
        <w:pStyle w:val="Merknadstekst"/>
      </w:pPr>
      <w:r>
        <w:t xml:space="preserve">Dersom kandidaten kobler ordlydstolkningen opp mot selve hovedlinjene i faget på en slik måte viser det god forståelse. </w:t>
      </w:r>
    </w:p>
  </w:comment>
  <w:comment w:id="28" w:author="CMS Kluge" w:date="2023-04-24T15:53:00Z" w:initials="CMS">
    <w:p w14:paraId="1A665FD3" w14:textId="77777777" w:rsidR="00A44C51" w:rsidRDefault="00A44C51">
      <w:pPr>
        <w:pStyle w:val="Merknadstekst"/>
      </w:pPr>
      <w:r>
        <w:rPr>
          <w:rStyle w:val="Merknadsreferanse"/>
        </w:rPr>
        <w:annotationRef/>
      </w:r>
      <w:r>
        <w:t>Er det «klart» at et tap på 75 000 kroner er urimelig ved et salg på nærmere 500 000, som følge av en skrivefeil som selskapet selv er ansvarlig for?</w:t>
      </w:r>
    </w:p>
    <w:p w14:paraId="42281321" w14:textId="77777777" w:rsidR="00A44C51" w:rsidRDefault="00A44C51">
      <w:pPr>
        <w:pStyle w:val="Merknadstekst"/>
      </w:pPr>
    </w:p>
    <w:p w14:paraId="0AB5A802" w14:textId="5E1E6115" w:rsidR="00A44C51" w:rsidRDefault="00A44C51">
      <w:pPr>
        <w:pStyle w:val="Merknadstekst"/>
      </w:pPr>
      <w:r>
        <w:t xml:space="preserve">Vær oppmerksom på bruken av begrepet «klart» og prøv å begrense det til de ganger der det faktisk er utvilsomt. </w:t>
      </w:r>
    </w:p>
  </w:comment>
  <w:comment w:id="29" w:author="CMS Kluge" w:date="2023-04-24T15:54:00Z" w:initials="CMS">
    <w:p w14:paraId="1C10FEF3" w14:textId="77777777" w:rsidR="00214AE7" w:rsidRDefault="00214AE7">
      <w:pPr>
        <w:pStyle w:val="Merknadstekst"/>
      </w:pPr>
      <w:r>
        <w:rPr>
          <w:rStyle w:val="Merknadsreferanse"/>
        </w:rPr>
        <w:annotationRef/>
      </w:r>
      <w:r>
        <w:t xml:space="preserve">Som du var inne på tidligere skal man etter § 36 gjennomføre en konkret helhetsvurdering av alle relevante forhold. At et av momentene i § 36 (2) ikke direkte </w:t>
      </w:r>
      <w:r w:rsidR="004B2C66">
        <w:t xml:space="preserve">avgjør spørsmålet er ikke grunnen for at man også må vurdere de øvrige momentene. </w:t>
      </w:r>
    </w:p>
    <w:p w14:paraId="5CAB5A9A" w14:textId="77777777" w:rsidR="004B2C66" w:rsidRDefault="004B2C66">
      <w:pPr>
        <w:pStyle w:val="Merknadstekst"/>
      </w:pPr>
    </w:p>
    <w:p w14:paraId="3C2840C0" w14:textId="6E676AA7" w:rsidR="004B2C66" w:rsidRDefault="004B2C66">
      <w:pPr>
        <w:pStyle w:val="Merknadstekst"/>
      </w:pPr>
      <w:r>
        <w:t xml:space="preserve">Samtlige relevante momenter skal vurderes før man kan konkludere på den helhetsvurderingen som skal gjennomføres. </w:t>
      </w:r>
    </w:p>
  </w:comment>
  <w:comment w:id="30" w:author="CMS Kluge" w:date="2023-04-24T15:57:00Z" w:initials="CMS">
    <w:p w14:paraId="20D17950" w14:textId="1B42CDD9" w:rsidR="00EF7760" w:rsidRDefault="00EF7760">
      <w:pPr>
        <w:pStyle w:val="Merknadstekst"/>
      </w:pPr>
      <w:r>
        <w:rPr>
          <w:rStyle w:val="Merknadsreferanse"/>
        </w:rPr>
        <w:annotationRef/>
      </w:r>
      <w:r>
        <w:t xml:space="preserve">God vurdering av partenes stilling, hvor alle opplysninger i faktum blir vurdert nøye. </w:t>
      </w:r>
    </w:p>
  </w:comment>
  <w:comment w:id="31" w:author="CMS Kluge" w:date="2023-04-24T15:58:00Z" w:initials="CMS">
    <w:p w14:paraId="6CDFC071" w14:textId="08C9BBC8" w:rsidR="00EF7760" w:rsidRDefault="00EF7760">
      <w:pPr>
        <w:pStyle w:val="Merknadstekst"/>
      </w:pPr>
      <w:r>
        <w:rPr>
          <w:rStyle w:val="Merknadsreferanse"/>
        </w:rPr>
        <w:annotationRef/>
      </w:r>
      <w:r>
        <w:t xml:space="preserve">Her viser også kandidaten god kunnskap om det aktuelle momentet. Fint. </w:t>
      </w:r>
    </w:p>
  </w:comment>
  <w:comment w:id="32" w:author="CMS Kluge" w:date="2023-04-24T15:59:00Z" w:initials="CMS">
    <w:p w14:paraId="74E62BDB" w14:textId="6D93A353" w:rsidR="00D06CE9" w:rsidRDefault="00D06CE9">
      <w:pPr>
        <w:pStyle w:val="Merknadstekst"/>
      </w:pPr>
      <w:r>
        <w:rPr>
          <w:rStyle w:val="Merknadsreferanse"/>
        </w:rPr>
        <w:annotationRef/>
      </w:r>
      <w:r>
        <w:t xml:space="preserve">Enig i konklusjonen, uten at det har noe nevneverdig å si. </w:t>
      </w:r>
      <w:r w:rsidR="008B674A">
        <w:t>Det sentrale er at kandidaten har lagt opp sin drøftelse slik at det var naturlig å konkludere den veien</w:t>
      </w:r>
      <w:r w:rsidR="000E30C2">
        <w:t xml:space="preserve"> kandidaten gjorde.</w:t>
      </w:r>
    </w:p>
  </w:comment>
  <w:comment w:id="33" w:author="CMS Kluge" w:date="2023-04-24T16:00:00Z" w:initials="CMS">
    <w:p w14:paraId="3AD88173" w14:textId="77777777" w:rsidR="000E30C2" w:rsidRDefault="000E30C2">
      <w:pPr>
        <w:pStyle w:val="Merknadstekst"/>
      </w:pPr>
      <w:r>
        <w:rPr>
          <w:rStyle w:val="Merknadsreferanse"/>
        </w:rPr>
        <w:annotationRef/>
      </w:r>
      <w:r>
        <w:t xml:space="preserve">Samlet er kandidaten flink til å </w:t>
      </w:r>
      <w:r w:rsidR="00332C08">
        <w:t xml:space="preserve">ta i bruk den relevante informasjon faktum fremlegger, og bruker informasjonen gjennomgående godt i sin drøftelse. </w:t>
      </w:r>
    </w:p>
    <w:p w14:paraId="36228C4E" w14:textId="77777777" w:rsidR="00332C08" w:rsidRDefault="00332C08">
      <w:pPr>
        <w:pStyle w:val="Merknadstekst"/>
      </w:pPr>
    </w:p>
    <w:p w14:paraId="3B5F210E" w14:textId="77777777" w:rsidR="00332C08" w:rsidRDefault="00332C08">
      <w:pPr>
        <w:pStyle w:val="Merknadstekst"/>
      </w:pPr>
      <w:r>
        <w:t>Samtidig innehar kandidaten god kjennskap til de viktigste rettsreglene, og identifiserer de problematiske delene av oppgaven.</w:t>
      </w:r>
    </w:p>
    <w:p w14:paraId="2027E24E" w14:textId="77777777" w:rsidR="00332C08" w:rsidRDefault="00332C08">
      <w:pPr>
        <w:pStyle w:val="Merknadstekst"/>
      </w:pPr>
    </w:p>
    <w:p w14:paraId="4BEC94F5" w14:textId="77777777" w:rsidR="00332C08" w:rsidRDefault="00332C08">
      <w:pPr>
        <w:pStyle w:val="Merknadstekst"/>
      </w:pPr>
      <w:r>
        <w:t xml:space="preserve">Rent språklig </w:t>
      </w:r>
      <w:r w:rsidR="001C7488">
        <w:t xml:space="preserve">kan det pirkes litt, og oppgaven hadde </w:t>
      </w:r>
      <w:r w:rsidR="00112D4B">
        <w:t xml:space="preserve">tatt seg bedre ut dersom kandidaten fikk tid til en gjennomlesning før innlevering. Imidlertid klar over at eksamenssituasjonen ikke alltid muliggjør en slik siste gjennomlesning. </w:t>
      </w:r>
    </w:p>
    <w:p w14:paraId="53ED9F7D" w14:textId="4B531F8D" w:rsidR="00112D4B" w:rsidRDefault="00112D4B">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B7E27" w15:done="0"/>
  <w15:commentEx w15:paraId="07C88CFE" w15:done="0"/>
  <w15:commentEx w15:paraId="6BF3599D" w15:done="0"/>
  <w15:commentEx w15:paraId="32F73AA6" w15:done="0"/>
  <w15:commentEx w15:paraId="50F4E6FB" w15:done="0"/>
  <w15:commentEx w15:paraId="0EB4A0DD" w15:done="0"/>
  <w15:commentEx w15:paraId="126E5D93" w15:done="0"/>
  <w15:commentEx w15:paraId="43DFB9A3" w15:done="0"/>
  <w15:commentEx w15:paraId="40D1937F" w15:done="0"/>
  <w15:commentEx w15:paraId="4CE567AE" w15:done="0"/>
  <w15:commentEx w15:paraId="6127C6B0" w15:done="0"/>
  <w15:commentEx w15:paraId="657730ED" w15:done="0"/>
  <w15:commentEx w15:paraId="2C1846EE" w15:done="0"/>
  <w15:commentEx w15:paraId="19B3A4B6" w15:done="0"/>
  <w15:commentEx w15:paraId="7A71A704" w15:done="0"/>
  <w15:commentEx w15:paraId="4F35FC03" w15:done="0"/>
  <w15:commentEx w15:paraId="62F00447" w15:done="0"/>
  <w15:commentEx w15:paraId="6E847256" w15:done="0"/>
  <w15:commentEx w15:paraId="1136951D" w15:done="0"/>
  <w15:commentEx w15:paraId="7D6385DC" w15:done="0"/>
  <w15:commentEx w15:paraId="3829F676" w15:done="0"/>
  <w15:commentEx w15:paraId="1A75A776" w15:done="0"/>
  <w15:commentEx w15:paraId="1F2D78B1" w15:done="0"/>
  <w15:commentEx w15:paraId="3CB60548" w15:done="0"/>
  <w15:commentEx w15:paraId="6FDAA882" w15:done="0"/>
  <w15:commentEx w15:paraId="45BAE179" w15:done="0"/>
  <w15:commentEx w15:paraId="1D5F8915" w15:done="0"/>
  <w15:commentEx w15:paraId="25A15E5F" w15:done="0"/>
  <w15:commentEx w15:paraId="0AB5A802" w15:done="0"/>
  <w15:commentEx w15:paraId="3C2840C0" w15:done="0"/>
  <w15:commentEx w15:paraId="20D17950" w15:done="0"/>
  <w15:commentEx w15:paraId="6CDFC071" w15:done="0"/>
  <w15:commentEx w15:paraId="74E62BDB" w15:done="0"/>
  <w15:commentEx w15:paraId="53ED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01" w16cex:dateUtc="2023-04-24T09:01:00Z"/>
  <w16cex:commentExtensible w16cex:durableId="27F0E31D" w16cex:dateUtc="2023-04-24T09:14:00Z"/>
  <w16cex:commentExtensible w16cex:durableId="27F0E474" w16cex:dateUtc="2023-04-24T09:20:00Z"/>
  <w16cex:commentExtensible w16cex:durableId="27F0F624" w16cex:dateUtc="2023-04-24T10:35:00Z"/>
  <w16cex:commentExtensible w16cex:durableId="27F0F7A5" w16cex:dateUtc="2023-04-24T10:42:00Z"/>
  <w16cex:commentExtensible w16cex:durableId="27F0F83C" w16cex:dateUtc="2023-04-24T10:44:00Z"/>
  <w16cex:commentExtensible w16cex:durableId="27F0F8DF" w16cex:dateUtc="2023-04-24T10:47:00Z"/>
  <w16cex:commentExtensible w16cex:durableId="27F111A1" w16cex:dateUtc="2023-04-24T12:33:00Z"/>
  <w16cex:commentExtensible w16cex:durableId="27F11291" w16cex:dateUtc="2023-04-24T12:37:00Z"/>
  <w16cex:commentExtensible w16cex:durableId="27F112E3" w16cex:dateUtc="2023-04-24T12:38:00Z"/>
  <w16cex:commentExtensible w16cex:durableId="27F114B0" w16cex:dateUtc="2023-04-24T12:46:00Z"/>
  <w16cex:commentExtensible w16cex:durableId="27F11268" w16cex:dateUtc="2023-04-24T12:36:00Z"/>
  <w16cex:commentExtensible w16cex:durableId="27F11BE4" w16cex:dateUtc="2023-04-24T13:16:00Z"/>
  <w16cex:commentExtensible w16cex:durableId="27F11C3C" w16cex:dateUtc="2023-04-24T13:18:00Z"/>
  <w16cex:commentExtensible w16cex:durableId="27F11C85" w16cex:dateUtc="2023-04-24T13:19:00Z"/>
  <w16cex:commentExtensible w16cex:durableId="27F11D2B" w16cex:dateUtc="2023-04-24T13:22:00Z"/>
  <w16cex:commentExtensible w16cex:durableId="27F11D70" w16cex:dateUtc="2023-04-24T13:23:00Z"/>
  <w16cex:commentExtensible w16cex:durableId="27F11E81" w16cex:dateUtc="2023-04-24T13:28:00Z"/>
  <w16cex:commentExtensible w16cex:durableId="27F11EE7" w16cex:dateUtc="2023-04-24T13:29:00Z"/>
  <w16cex:commentExtensible w16cex:durableId="27F12016" w16cex:dateUtc="2023-04-24T13:34:00Z"/>
  <w16cex:commentExtensible w16cex:durableId="27F12089" w16cex:dateUtc="2023-04-24T13:36:00Z"/>
  <w16cex:commentExtensible w16cex:durableId="27F12121" w16cex:dateUtc="2023-04-24T13:39:00Z"/>
  <w16cex:commentExtensible w16cex:durableId="27F120C7" w16cex:dateUtc="2023-04-24T13:37:00Z"/>
  <w16cex:commentExtensible w16cex:durableId="27F1218D" w16cex:dateUtc="2023-04-24T13:41:00Z"/>
  <w16cex:commentExtensible w16cex:durableId="27F1220E" w16cex:dateUtc="2023-04-24T13:43:00Z"/>
  <w16cex:commentExtensible w16cex:durableId="27F122B1" w16cex:dateUtc="2023-04-24T13:45:00Z"/>
  <w16cex:commentExtensible w16cex:durableId="27F12387" w16cex:dateUtc="2023-04-24T13:49:00Z"/>
  <w16cex:commentExtensible w16cex:durableId="27F123BC" w16cex:dateUtc="2023-04-24T13:50:00Z"/>
  <w16cex:commentExtensible w16cex:durableId="27F1247D" w16cex:dateUtc="2023-04-24T13:53:00Z"/>
  <w16cex:commentExtensible w16cex:durableId="27F124C9" w16cex:dateUtc="2023-04-24T13:54:00Z"/>
  <w16cex:commentExtensible w16cex:durableId="27F12563" w16cex:dateUtc="2023-04-24T13:57:00Z"/>
  <w16cex:commentExtensible w16cex:durableId="27F12592" w16cex:dateUtc="2023-04-24T13:58:00Z"/>
  <w16cex:commentExtensible w16cex:durableId="27F125C7" w16cex:dateUtc="2023-04-24T13:59:00Z"/>
  <w16cex:commentExtensible w16cex:durableId="27F1260B" w16cex:dateUtc="2023-04-24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B7E27" w16cid:durableId="27F0E001"/>
  <w16cid:commentId w16cid:paraId="07C88CFE" w16cid:durableId="27F0E31D"/>
  <w16cid:commentId w16cid:paraId="6BF3599D" w16cid:durableId="27F0E474"/>
  <w16cid:commentId w16cid:paraId="32F73AA6" w16cid:durableId="27F0F624"/>
  <w16cid:commentId w16cid:paraId="50F4E6FB" w16cid:durableId="27F0F7A5"/>
  <w16cid:commentId w16cid:paraId="0EB4A0DD" w16cid:durableId="27F0F83C"/>
  <w16cid:commentId w16cid:paraId="126E5D93" w16cid:durableId="27F0F8DF"/>
  <w16cid:commentId w16cid:paraId="43DFB9A3" w16cid:durableId="27F111A1"/>
  <w16cid:commentId w16cid:paraId="40D1937F" w16cid:durableId="27F11291"/>
  <w16cid:commentId w16cid:paraId="4CE567AE" w16cid:durableId="27F112E3"/>
  <w16cid:commentId w16cid:paraId="6127C6B0" w16cid:durableId="27F114B0"/>
  <w16cid:commentId w16cid:paraId="657730ED" w16cid:durableId="27F11268"/>
  <w16cid:commentId w16cid:paraId="2C1846EE" w16cid:durableId="27F11BE4"/>
  <w16cid:commentId w16cid:paraId="19B3A4B6" w16cid:durableId="27F11C3C"/>
  <w16cid:commentId w16cid:paraId="7A71A704" w16cid:durableId="27F11C85"/>
  <w16cid:commentId w16cid:paraId="4F35FC03" w16cid:durableId="27F11D2B"/>
  <w16cid:commentId w16cid:paraId="62F00447" w16cid:durableId="27F11D70"/>
  <w16cid:commentId w16cid:paraId="6E847256" w16cid:durableId="27F11E81"/>
  <w16cid:commentId w16cid:paraId="1136951D" w16cid:durableId="27F11EE7"/>
  <w16cid:commentId w16cid:paraId="7D6385DC" w16cid:durableId="27F12016"/>
  <w16cid:commentId w16cid:paraId="3829F676" w16cid:durableId="27F12089"/>
  <w16cid:commentId w16cid:paraId="1A75A776" w16cid:durableId="27F12121"/>
  <w16cid:commentId w16cid:paraId="1F2D78B1" w16cid:durableId="27F120C7"/>
  <w16cid:commentId w16cid:paraId="3CB60548" w16cid:durableId="27F1218D"/>
  <w16cid:commentId w16cid:paraId="6FDAA882" w16cid:durableId="27F1220E"/>
  <w16cid:commentId w16cid:paraId="45BAE179" w16cid:durableId="27F122B1"/>
  <w16cid:commentId w16cid:paraId="1D5F8915" w16cid:durableId="27F12387"/>
  <w16cid:commentId w16cid:paraId="25A15E5F" w16cid:durableId="27F123BC"/>
  <w16cid:commentId w16cid:paraId="0AB5A802" w16cid:durableId="27F1247D"/>
  <w16cid:commentId w16cid:paraId="3C2840C0" w16cid:durableId="27F124C9"/>
  <w16cid:commentId w16cid:paraId="20D17950" w16cid:durableId="27F12563"/>
  <w16cid:commentId w16cid:paraId="6CDFC071" w16cid:durableId="27F12592"/>
  <w16cid:commentId w16cid:paraId="74E62BDB" w16cid:durableId="27F125C7"/>
  <w16cid:commentId w16cid:paraId="53ED9F7D" w16cid:durableId="27F126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S Kluge">
    <w15:presenceInfo w15:providerId="None" w15:userId="CMS Klu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310D7"/>
    <w:rsid w:val="00033D3E"/>
    <w:rsid w:val="0006366D"/>
    <w:rsid w:val="00071493"/>
    <w:rsid w:val="00093264"/>
    <w:rsid w:val="000A34BB"/>
    <w:rsid w:val="000B34DD"/>
    <w:rsid w:val="000C3235"/>
    <w:rsid w:val="000D2704"/>
    <w:rsid w:val="000E30C2"/>
    <w:rsid w:val="000E3F73"/>
    <w:rsid w:val="000F456D"/>
    <w:rsid w:val="00112D4B"/>
    <w:rsid w:val="0019125C"/>
    <w:rsid w:val="001C7488"/>
    <w:rsid w:val="001E2897"/>
    <w:rsid w:val="001F60D9"/>
    <w:rsid w:val="00214AE7"/>
    <w:rsid w:val="00235CDB"/>
    <w:rsid w:val="00291C85"/>
    <w:rsid w:val="002A3FDD"/>
    <w:rsid w:val="002E7F34"/>
    <w:rsid w:val="00305305"/>
    <w:rsid w:val="00332C08"/>
    <w:rsid w:val="00381E9B"/>
    <w:rsid w:val="003A216B"/>
    <w:rsid w:val="0040266E"/>
    <w:rsid w:val="00426170"/>
    <w:rsid w:val="004600E7"/>
    <w:rsid w:val="004A7FC4"/>
    <w:rsid w:val="004B2C66"/>
    <w:rsid w:val="00591117"/>
    <w:rsid w:val="00632680"/>
    <w:rsid w:val="006A1A63"/>
    <w:rsid w:val="006D0988"/>
    <w:rsid w:val="0075321E"/>
    <w:rsid w:val="00794230"/>
    <w:rsid w:val="007A2DFF"/>
    <w:rsid w:val="00802231"/>
    <w:rsid w:val="008027E1"/>
    <w:rsid w:val="00803DF3"/>
    <w:rsid w:val="00831EAC"/>
    <w:rsid w:val="00842BEF"/>
    <w:rsid w:val="00867F15"/>
    <w:rsid w:val="0087428B"/>
    <w:rsid w:val="00893938"/>
    <w:rsid w:val="008B674A"/>
    <w:rsid w:val="00906F7D"/>
    <w:rsid w:val="009124BA"/>
    <w:rsid w:val="009529AE"/>
    <w:rsid w:val="009535D3"/>
    <w:rsid w:val="009770FE"/>
    <w:rsid w:val="009B1D5F"/>
    <w:rsid w:val="009B5C9D"/>
    <w:rsid w:val="009D55F1"/>
    <w:rsid w:val="00A44C51"/>
    <w:rsid w:val="00A82157"/>
    <w:rsid w:val="00A96C3B"/>
    <w:rsid w:val="00AC0A1E"/>
    <w:rsid w:val="00B075DD"/>
    <w:rsid w:val="00B840CE"/>
    <w:rsid w:val="00B92C40"/>
    <w:rsid w:val="00BB46C0"/>
    <w:rsid w:val="00BE42FA"/>
    <w:rsid w:val="00C06D32"/>
    <w:rsid w:val="00C13DD4"/>
    <w:rsid w:val="00C17D74"/>
    <w:rsid w:val="00C933B6"/>
    <w:rsid w:val="00D06CE9"/>
    <w:rsid w:val="00D20D51"/>
    <w:rsid w:val="00D80363"/>
    <w:rsid w:val="00D97E90"/>
    <w:rsid w:val="00DB3742"/>
    <w:rsid w:val="00E7669B"/>
    <w:rsid w:val="00EB355C"/>
    <w:rsid w:val="00EE0201"/>
    <w:rsid w:val="00EF7760"/>
    <w:rsid w:val="00F0484C"/>
    <w:rsid w:val="00F64CEB"/>
    <w:rsid w:val="00F73148"/>
    <w:rsid w:val="00FA31EB"/>
    <w:rsid w:val="00FB12F8"/>
    <w:rsid w:val="00FC48A3"/>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33D3E"/>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381E9B"/>
    <w:rPr>
      <w:sz w:val="16"/>
      <w:szCs w:val="16"/>
    </w:rPr>
  </w:style>
  <w:style w:type="paragraph" w:styleId="Merknadstekst">
    <w:name w:val="annotation text"/>
    <w:basedOn w:val="Normal"/>
    <w:link w:val="MerknadstekstTegn"/>
    <w:uiPriority w:val="99"/>
    <w:semiHidden/>
    <w:unhideWhenUsed/>
    <w:rsid w:val="00381E9B"/>
    <w:rPr>
      <w:sz w:val="20"/>
      <w:szCs w:val="20"/>
    </w:rPr>
  </w:style>
  <w:style w:type="character" w:customStyle="1" w:styleId="MerknadstekstTegn">
    <w:name w:val="Merknadstekst Tegn"/>
    <w:basedOn w:val="Standardskriftforavsnitt"/>
    <w:link w:val="Merknadstekst"/>
    <w:uiPriority w:val="99"/>
    <w:semiHidden/>
    <w:rsid w:val="00381E9B"/>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381E9B"/>
    <w:rPr>
      <w:b/>
      <w:bCs/>
    </w:rPr>
  </w:style>
  <w:style w:type="character" w:customStyle="1" w:styleId="KommentaremneTegn">
    <w:name w:val="Kommentaremne Tegn"/>
    <w:basedOn w:val="MerknadstekstTegn"/>
    <w:link w:val="Kommentaremne"/>
    <w:uiPriority w:val="99"/>
    <w:semiHidden/>
    <w:rsid w:val="00381E9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762">
      <w:bodyDiv w:val="1"/>
      <w:marLeft w:val="0"/>
      <w:marRight w:val="0"/>
      <w:marTop w:val="0"/>
      <w:marBottom w:val="0"/>
      <w:divBdr>
        <w:top w:val="none" w:sz="0" w:space="0" w:color="auto"/>
        <w:left w:val="none" w:sz="0" w:space="0" w:color="auto"/>
        <w:bottom w:val="none" w:sz="0" w:space="0" w:color="auto"/>
        <w:right w:val="none" w:sz="0" w:space="0" w:color="auto"/>
      </w:divBdr>
      <w:divsChild>
        <w:div w:id="1068727525">
          <w:marLeft w:val="0"/>
          <w:marRight w:val="0"/>
          <w:marTop w:val="0"/>
          <w:marBottom w:val="0"/>
          <w:divBdr>
            <w:top w:val="none" w:sz="0" w:space="0" w:color="auto"/>
            <w:left w:val="none" w:sz="0" w:space="0" w:color="auto"/>
            <w:bottom w:val="none" w:sz="0" w:space="0" w:color="auto"/>
            <w:right w:val="none" w:sz="0" w:space="0" w:color="auto"/>
          </w:divBdr>
          <w:divsChild>
            <w:div w:id="453449020">
              <w:marLeft w:val="0"/>
              <w:marRight w:val="0"/>
              <w:marTop w:val="0"/>
              <w:marBottom w:val="0"/>
              <w:divBdr>
                <w:top w:val="none" w:sz="0" w:space="0" w:color="auto"/>
                <w:left w:val="none" w:sz="0" w:space="0" w:color="auto"/>
                <w:bottom w:val="none" w:sz="0" w:space="0" w:color="auto"/>
                <w:right w:val="none" w:sz="0" w:space="0" w:color="auto"/>
              </w:divBdr>
              <w:divsChild>
                <w:div w:id="2012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925">
      <w:bodyDiv w:val="1"/>
      <w:marLeft w:val="0"/>
      <w:marRight w:val="0"/>
      <w:marTop w:val="0"/>
      <w:marBottom w:val="0"/>
      <w:divBdr>
        <w:top w:val="none" w:sz="0" w:space="0" w:color="auto"/>
        <w:left w:val="none" w:sz="0" w:space="0" w:color="auto"/>
        <w:bottom w:val="none" w:sz="0" w:space="0" w:color="auto"/>
        <w:right w:val="none" w:sz="0" w:space="0" w:color="auto"/>
      </w:divBdr>
      <w:divsChild>
        <w:div w:id="864440446">
          <w:marLeft w:val="0"/>
          <w:marRight w:val="0"/>
          <w:marTop w:val="0"/>
          <w:marBottom w:val="0"/>
          <w:divBdr>
            <w:top w:val="none" w:sz="0" w:space="0" w:color="auto"/>
            <w:left w:val="none" w:sz="0" w:space="0" w:color="auto"/>
            <w:bottom w:val="none" w:sz="0" w:space="0" w:color="auto"/>
            <w:right w:val="none" w:sz="0" w:space="0" w:color="auto"/>
          </w:divBdr>
          <w:divsChild>
            <w:div w:id="66074202">
              <w:marLeft w:val="0"/>
              <w:marRight w:val="0"/>
              <w:marTop w:val="0"/>
              <w:marBottom w:val="0"/>
              <w:divBdr>
                <w:top w:val="none" w:sz="0" w:space="0" w:color="auto"/>
                <w:left w:val="none" w:sz="0" w:space="0" w:color="auto"/>
                <w:bottom w:val="none" w:sz="0" w:space="0" w:color="auto"/>
                <w:right w:val="none" w:sz="0" w:space="0" w:color="auto"/>
              </w:divBdr>
              <w:divsChild>
                <w:div w:id="5116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484">
      <w:bodyDiv w:val="1"/>
      <w:marLeft w:val="0"/>
      <w:marRight w:val="0"/>
      <w:marTop w:val="0"/>
      <w:marBottom w:val="0"/>
      <w:divBdr>
        <w:top w:val="none" w:sz="0" w:space="0" w:color="auto"/>
        <w:left w:val="none" w:sz="0" w:space="0" w:color="auto"/>
        <w:bottom w:val="none" w:sz="0" w:space="0" w:color="auto"/>
        <w:right w:val="none" w:sz="0" w:space="0" w:color="auto"/>
      </w:divBdr>
      <w:divsChild>
        <w:div w:id="1660771164">
          <w:marLeft w:val="0"/>
          <w:marRight w:val="0"/>
          <w:marTop w:val="0"/>
          <w:marBottom w:val="0"/>
          <w:divBdr>
            <w:top w:val="none" w:sz="0" w:space="0" w:color="auto"/>
            <w:left w:val="none" w:sz="0" w:space="0" w:color="auto"/>
            <w:bottom w:val="none" w:sz="0" w:space="0" w:color="auto"/>
            <w:right w:val="none" w:sz="0" w:space="0" w:color="auto"/>
          </w:divBdr>
          <w:divsChild>
            <w:div w:id="1193954715">
              <w:marLeft w:val="0"/>
              <w:marRight w:val="0"/>
              <w:marTop w:val="0"/>
              <w:marBottom w:val="0"/>
              <w:divBdr>
                <w:top w:val="none" w:sz="0" w:space="0" w:color="auto"/>
                <w:left w:val="none" w:sz="0" w:space="0" w:color="auto"/>
                <w:bottom w:val="none" w:sz="0" w:space="0" w:color="auto"/>
                <w:right w:val="none" w:sz="0" w:space="0" w:color="auto"/>
              </w:divBdr>
              <w:divsChild>
                <w:div w:id="12988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9218">
      <w:bodyDiv w:val="1"/>
      <w:marLeft w:val="0"/>
      <w:marRight w:val="0"/>
      <w:marTop w:val="0"/>
      <w:marBottom w:val="0"/>
      <w:divBdr>
        <w:top w:val="none" w:sz="0" w:space="0" w:color="auto"/>
        <w:left w:val="none" w:sz="0" w:space="0" w:color="auto"/>
        <w:bottom w:val="none" w:sz="0" w:space="0" w:color="auto"/>
        <w:right w:val="none" w:sz="0" w:space="0" w:color="auto"/>
      </w:divBdr>
      <w:divsChild>
        <w:div w:id="1733502722">
          <w:marLeft w:val="0"/>
          <w:marRight w:val="0"/>
          <w:marTop w:val="0"/>
          <w:marBottom w:val="0"/>
          <w:divBdr>
            <w:top w:val="none" w:sz="0" w:space="0" w:color="auto"/>
            <w:left w:val="none" w:sz="0" w:space="0" w:color="auto"/>
            <w:bottom w:val="none" w:sz="0" w:space="0" w:color="auto"/>
            <w:right w:val="none" w:sz="0" w:space="0" w:color="auto"/>
          </w:divBdr>
          <w:divsChild>
            <w:div w:id="1389645916">
              <w:marLeft w:val="0"/>
              <w:marRight w:val="0"/>
              <w:marTop w:val="0"/>
              <w:marBottom w:val="0"/>
              <w:divBdr>
                <w:top w:val="none" w:sz="0" w:space="0" w:color="auto"/>
                <w:left w:val="none" w:sz="0" w:space="0" w:color="auto"/>
                <w:bottom w:val="none" w:sz="0" w:space="0" w:color="auto"/>
                <w:right w:val="none" w:sz="0" w:space="0" w:color="auto"/>
              </w:divBdr>
              <w:divsChild>
                <w:div w:id="1749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6863">
      <w:bodyDiv w:val="1"/>
      <w:marLeft w:val="0"/>
      <w:marRight w:val="0"/>
      <w:marTop w:val="0"/>
      <w:marBottom w:val="0"/>
      <w:divBdr>
        <w:top w:val="none" w:sz="0" w:space="0" w:color="auto"/>
        <w:left w:val="none" w:sz="0" w:space="0" w:color="auto"/>
        <w:bottom w:val="none" w:sz="0" w:space="0" w:color="auto"/>
        <w:right w:val="none" w:sz="0" w:space="0" w:color="auto"/>
      </w:divBdr>
      <w:divsChild>
        <w:div w:id="609094230">
          <w:marLeft w:val="0"/>
          <w:marRight w:val="0"/>
          <w:marTop w:val="0"/>
          <w:marBottom w:val="0"/>
          <w:divBdr>
            <w:top w:val="none" w:sz="0" w:space="0" w:color="auto"/>
            <w:left w:val="none" w:sz="0" w:space="0" w:color="auto"/>
            <w:bottom w:val="none" w:sz="0" w:space="0" w:color="auto"/>
            <w:right w:val="none" w:sz="0" w:space="0" w:color="auto"/>
          </w:divBdr>
          <w:divsChild>
            <w:div w:id="1932423367">
              <w:marLeft w:val="0"/>
              <w:marRight w:val="0"/>
              <w:marTop w:val="0"/>
              <w:marBottom w:val="0"/>
              <w:divBdr>
                <w:top w:val="none" w:sz="0" w:space="0" w:color="auto"/>
                <w:left w:val="none" w:sz="0" w:space="0" w:color="auto"/>
                <w:bottom w:val="none" w:sz="0" w:space="0" w:color="auto"/>
                <w:right w:val="none" w:sz="0" w:space="0" w:color="auto"/>
              </w:divBdr>
              <w:divsChild>
                <w:div w:id="998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8956">
      <w:bodyDiv w:val="1"/>
      <w:marLeft w:val="0"/>
      <w:marRight w:val="0"/>
      <w:marTop w:val="0"/>
      <w:marBottom w:val="0"/>
      <w:divBdr>
        <w:top w:val="none" w:sz="0" w:space="0" w:color="auto"/>
        <w:left w:val="none" w:sz="0" w:space="0" w:color="auto"/>
        <w:bottom w:val="none" w:sz="0" w:space="0" w:color="auto"/>
        <w:right w:val="none" w:sz="0" w:space="0" w:color="auto"/>
      </w:divBdr>
      <w:divsChild>
        <w:div w:id="8871222">
          <w:marLeft w:val="0"/>
          <w:marRight w:val="0"/>
          <w:marTop w:val="0"/>
          <w:marBottom w:val="0"/>
          <w:divBdr>
            <w:top w:val="none" w:sz="0" w:space="0" w:color="auto"/>
            <w:left w:val="none" w:sz="0" w:space="0" w:color="auto"/>
            <w:bottom w:val="none" w:sz="0" w:space="0" w:color="auto"/>
            <w:right w:val="none" w:sz="0" w:space="0" w:color="auto"/>
          </w:divBdr>
          <w:divsChild>
            <w:div w:id="736706905">
              <w:marLeft w:val="0"/>
              <w:marRight w:val="0"/>
              <w:marTop w:val="0"/>
              <w:marBottom w:val="0"/>
              <w:divBdr>
                <w:top w:val="none" w:sz="0" w:space="0" w:color="auto"/>
                <w:left w:val="none" w:sz="0" w:space="0" w:color="auto"/>
                <w:bottom w:val="none" w:sz="0" w:space="0" w:color="auto"/>
                <w:right w:val="none" w:sz="0" w:space="0" w:color="auto"/>
              </w:divBdr>
              <w:divsChild>
                <w:div w:id="1223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9455">
      <w:bodyDiv w:val="1"/>
      <w:marLeft w:val="0"/>
      <w:marRight w:val="0"/>
      <w:marTop w:val="0"/>
      <w:marBottom w:val="0"/>
      <w:divBdr>
        <w:top w:val="none" w:sz="0" w:space="0" w:color="auto"/>
        <w:left w:val="none" w:sz="0" w:space="0" w:color="auto"/>
        <w:bottom w:val="none" w:sz="0" w:space="0" w:color="auto"/>
        <w:right w:val="none" w:sz="0" w:space="0" w:color="auto"/>
      </w:divBdr>
      <w:divsChild>
        <w:div w:id="2142990601">
          <w:marLeft w:val="0"/>
          <w:marRight w:val="0"/>
          <w:marTop w:val="0"/>
          <w:marBottom w:val="0"/>
          <w:divBdr>
            <w:top w:val="none" w:sz="0" w:space="0" w:color="auto"/>
            <w:left w:val="none" w:sz="0" w:space="0" w:color="auto"/>
            <w:bottom w:val="none" w:sz="0" w:space="0" w:color="auto"/>
            <w:right w:val="none" w:sz="0" w:space="0" w:color="auto"/>
          </w:divBdr>
          <w:divsChild>
            <w:div w:id="1485395076">
              <w:marLeft w:val="0"/>
              <w:marRight w:val="0"/>
              <w:marTop w:val="0"/>
              <w:marBottom w:val="0"/>
              <w:divBdr>
                <w:top w:val="none" w:sz="0" w:space="0" w:color="auto"/>
                <w:left w:val="none" w:sz="0" w:space="0" w:color="auto"/>
                <w:bottom w:val="none" w:sz="0" w:space="0" w:color="auto"/>
                <w:right w:val="none" w:sz="0" w:space="0" w:color="auto"/>
              </w:divBdr>
              <w:divsChild>
                <w:div w:id="1355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82141">
      <w:bodyDiv w:val="1"/>
      <w:marLeft w:val="0"/>
      <w:marRight w:val="0"/>
      <w:marTop w:val="0"/>
      <w:marBottom w:val="0"/>
      <w:divBdr>
        <w:top w:val="none" w:sz="0" w:space="0" w:color="auto"/>
        <w:left w:val="none" w:sz="0" w:space="0" w:color="auto"/>
        <w:bottom w:val="none" w:sz="0" w:space="0" w:color="auto"/>
        <w:right w:val="none" w:sz="0" w:space="0" w:color="auto"/>
      </w:divBdr>
      <w:divsChild>
        <w:div w:id="1771854455">
          <w:marLeft w:val="0"/>
          <w:marRight w:val="0"/>
          <w:marTop w:val="0"/>
          <w:marBottom w:val="0"/>
          <w:divBdr>
            <w:top w:val="none" w:sz="0" w:space="0" w:color="auto"/>
            <w:left w:val="none" w:sz="0" w:space="0" w:color="auto"/>
            <w:bottom w:val="none" w:sz="0" w:space="0" w:color="auto"/>
            <w:right w:val="none" w:sz="0" w:space="0" w:color="auto"/>
          </w:divBdr>
          <w:divsChild>
            <w:div w:id="1475373496">
              <w:marLeft w:val="0"/>
              <w:marRight w:val="0"/>
              <w:marTop w:val="0"/>
              <w:marBottom w:val="0"/>
              <w:divBdr>
                <w:top w:val="none" w:sz="0" w:space="0" w:color="auto"/>
                <w:left w:val="none" w:sz="0" w:space="0" w:color="auto"/>
                <w:bottom w:val="none" w:sz="0" w:space="0" w:color="auto"/>
                <w:right w:val="none" w:sz="0" w:space="0" w:color="auto"/>
              </w:divBdr>
              <w:divsChild>
                <w:div w:id="355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3665">
      <w:bodyDiv w:val="1"/>
      <w:marLeft w:val="0"/>
      <w:marRight w:val="0"/>
      <w:marTop w:val="0"/>
      <w:marBottom w:val="0"/>
      <w:divBdr>
        <w:top w:val="none" w:sz="0" w:space="0" w:color="auto"/>
        <w:left w:val="none" w:sz="0" w:space="0" w:color="auto"/>
        <w:bottom w:val="none" w:sz="0" w:space="0" w:color="auto"/>
        <w:right w:val="none" w:sz="0" w:space="0" w:color="auto"/>
      </w:divBdr>
      <w:divsChild>
        <w:div w:id="999651798">
          <w:marLeft w:val="0"/>
          <w:marRight w:val="0"/>
          <w:marTop w:val="0"/>
          <w:marBottom w:val="0"/>
          <w:divBdr>
            <w:top w:val="none" w:sz="0" w:space="0" w:color="auto"/>
            <w:left w:val="none" w:sz="0" w:space="0" w:color="auto"/>
            <w:bottom w:val="none" w:sz="0" w:space="0" w:color="auto"/>
            <w:right w:val="none" w:sz="0" w:space="0" w:color="auto"/>
          </w:divBdr>
          <w:divsChild>
            <w:div w:id="116416483">
              <w:marLeft w:val="0"/>
              <w:marRight w:val="0"/>
              <w:marTop w:val="0"/>
              <w:marBottom w:val="0"/>
              <w:divBdr>
                <w:top w:val="none" w:sz="0" w:space="0" w:color="auto"/>
                <w:left w:val="none" w:sz="0" w:space="0" w:color="auto"/>
                <w:bottom w:val="none" w:sz="0" w:space="0" w:color="auto"/>
                <w:right w:val="none" w:sz="0" w:space="0" w:color="auto"/>
              </w:divBdr>
              <w:divsChild>
                <w:div w:id="17315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4302">
      <w:bodyDiv w:val="1"/>
      <w:marLeft w:val="0"/>
      <w:marRight w:val="0"/>
      <w:marTop w:val="0"/>
      <w:marBottom w:val="0"/>
      <w:divBdr>
        <w:top w:val="none" w:sz="0" w:space="0" w:color="auto"/>
        <w:left w:val="none" w:sz="0" w:space="0" w:color="auto"/>
        <w:bottom w:val="none" w:sz="0" w:space="0" w:color="auto"/>
        <w:right w:val="none" w:sz="0" w:space="0" w:color="auto"/>
      </w:divBdr>
      <w:divsChild>
        <w:div w:id="915432273">
          <w:marLeft w:val="0"/>
          <w:marRight w:val="0"/>
          <w:marTop w:val="0"/>
          <w:marBottom w:val="0"/>
          <w:divBdr>
            <w:top w:val="none" w:sz="0" w:space="0" w:color="auto"/>
            <w:left w:val="none" w:sz="0" w:space="0" w:color="auto"/>
            <w:bottom w:val="none" w:sz="0" w:space="0" w:color="auto"/>
            <w:right w:val="none" w:sz="0" w:space="0" w:color="auto"/>
          </w:divBdr>
          <w:divsChild>
            <w:div w:id="831799072">
              <w:marLeft w:val="0"/>
              <w:marRight w:val="0"/>
              <w:marTop w:val="0"/>
              <w:marBottom w:val="0"/>
              <w:divBdr>
                <w:top w:val="none" w:sz="0" w:space="0" w:color="auto"/>
                <w:left w:val="none" w:sz="0" w:space="0" w:color="auto"/>
                <w:bottom w:val="none" w:sz="0" w:space="0" w:color="auto"/>
                <w:right w:val="none" w:sz="0" w:space="0" w:color="auto"/>
              </w:divBdr>
              <w:divsChild>
                <w:div w:id="789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9867">
      <w:bodyDiv w:val="1"/>
      <w:marLeft w:val="0"/>
      <w:marRight w:val="0"/>
      <w:marTop w:val="0"/>
      <w:marBottom w:val="0"/>
      <w:divBdr>
        <w:top w:val="none" w:sz="0" w:space="0" w:color="auto"/>
        <w:left w:val="none" w:sz="0" w:space="0" w:color="auto"/>
        <w:bottom w:val="none" w:sz="0" w:space="0" w:color="auto"/>
        <w:right w:val="none" w:sz="0" w:space="0" w:color="auto"/>
      </w:divBdr>
      <w:divsChild>
        <w:div w:id="1029526322">
          <w:marLeft w:val="0"/>
          <w:marRight w:val="0"/>
          <w:marTop w:val="0"/>
          <w:marBottom w:val="0"/>
          <w:divBdr>
            <w:top w:val="none" w:sz="0" w:space="0" w:color="auto"/>
            <w:left w:val="none" w:sz="0" w:space="0" w:color="auto"/>
            <w:bottom w:val="none" w:sz="0" w:space="0" w:color="auto"/>
            <w:right w:val="none" w:sz="0" w:space="0" w:color="auto"/>
          </w:divBdr>
          <w:divsChild>
            <w:div w:id="2080903434">
              <w:marLeft w:val="0"/>
              <w:marRight w:val="0"/>
              <w:marTop w:val="0"/>
              <w:marBottom w:val="0"/>
              <w:divBdr>
                <w:top w:val="none" w:sz="0" w:space="0" w:color="auto"/>
                <w:left w:val="none" w:sz="0" w:space="0" w:color="auto"/>
                <w:bottom w:val="none" w:sz="0" w:space="0" w:color="auto"/>
                <w:right w:val="none" w:sz="0" w:space="0" w:color="auto"/>
              </w:divBdr>
              <w:divsChild>
                <w:div w:id="12585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7640">
      <w:bodyDiv w:val="1"/>
      <w:marLeft w:val="0"/>
      <w:marRight w:val="0"/>
      <w:marTop w:val="0"/>
      <w:marBottom w:val="0"/>
      <w:divBdr>
        <w:top w:val="none" w:sz="0" w:space="0" w:color="auto"/>
        <w:left w:val="none" w:sz="0" w:space="0" w:color="auto"/>
        <w:bottom w:val="none" w:sz="0" w:space="0" w:color="auto"/>
        <w:right w:val="none" w:sz="0" w:space="0" w:color="auto"/>
      </w:divBdr>
      <w:divsChild>
        <w:div w:id="1947806508">
          <w:marLeft w:val="0"/>
          <w:marRight w:val="0"/>
          <w:marTop w:val="0"/>
          <w:marBottom w:val="0"/>
          <w:divBdr>
            <w:top w:val="none" w:sz="0" w:space="0" w:color="auto"/>
            <w:left w:val="none" w:sz="0" w:space="0" w:color="auto"/>
            <w:bottom w:val="none" w:sz="0" w:space="0" w:color="auto"/>
            <w:right w:val="none" w:sz="0" w:space="0" w:color="auto"/>
          </w:divBdr>
          <w:divsChild>
            <w:div w:id="1004168862">
              <w:marLeft w:val="0"/>
              <w:marRight w:val="0"/>
              <w:marTop w:val="0"/>
              <w:marBottom w:val="0"/>
              <w:divBdr>
                <w:top w:val="none" w:sz="0" w:space="0" w:color="auto"/>
                <w:left w:val="none" w:sz="0" w:space="0" w:color="auto"/>
                <w:bottom w:val="none" w:sz="0" w:space="0" w:color="auto"/>
                <w:right w:val="none" w:sz="0" w:space="0" w:color="auto"/>
              </w:divBdr>
              <w:divsChild>
                <w:div w:id="543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97">
      <w:bodyDiv w:val="1"/>
      <w:marLeft w:val="0"/>
      <w:marRight w:val="0"/>
      <w:marTop w:val="0"/>
      <w:marBottom w:val="0"/>
      <w:divBdr>
        <w:top w:val="none" w:sz="0" w:space="0" w:color="auto"/>
        <w:left w:val="none" w:sz="0" w:space="0" w:color="auto"/>
        <w:bottom w:val="none" w:sz="0" w:space="0" w:color="auto"/>
        <w:right w:val="none" w:sz="0" w:space="0" w:color="auto"/>
      </w:divBdr>
      <w:divsChild>
        <w:div w:id="494421459">
          <w:marLeft w:val="0"/>
          <w:marRight w:val="0"/>
          <w:marTop w:val="0"/>
          <w:marBottom w:val="0"/>
          <w:divBdr>
            <w:top w:val="none" w:sz="0" w:space="0" w:color="auto"/>
            <w:left w:val="none" w:sz="0" w:space="0" w:color="auto"/>
            <w:bottom w:val="none" w:sz="0" w:space="0" w:color="auto"/>
            <w:right w:val="none" w:sz="0" w:space="0" w:color="auto"/>
          </w:divBdr>
          <w:divsChild>
            <w:div w:id="1284531835">
              <w:marLeft w:val="0"/>
              <w:marRight w:val="0"/>
              <w:marTop w:val="0"/>
              <w:marBottom w:val="0"/>
              <w:divBdr>
                <w:top w:val="none" w:sz="0" w:space="0" w:color="auto"/>
                <w:left w:val="none" w:sz="0" w:space="0" w:color="auto"/>
                <w:bottom w:val="none" w:sz="0" w:space="0" w:color="auto"/>
                <w:right w:val="none" w:sz="0" w:space="0" w:color="auto"/>
              </w:divBdr>
              <w:divsChild>
                <w:div w:id="502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2737">
      <w:bodyDiv w:val="1"/>
      <w:marLeft w:val="0"/>
      <w:marRight w:val="0"/>
      <w:marTop w:val="0"/>
      <w:marBottom w:val="0"/>
      <w:divBdr>
        <w:top w:val="none" w:sz="0" w:space="0" w:color="auto"/>
        <w:left w:val="none" w:sz="0" w:space="0" w:color="auto"/>
        <w:bottom w:val="none" w:sz="0" w:space="0" w:color="auto"/>
        <w:right w:val="none" w:sz="0" w:space="0" w:color="auto"/>
      </w:divBdr>
      <w:divsChild>
        <w:div w:id="1375882992">
          <w:marLeft w:val="0"/>
          <w:marRight w:val="0"/>
          <w:marTop w:val="0"/>
          <w:marBottom w:val="0"/>
          <w:divBdr>
            <w:top w:val="none" w:sz="0" w:space="0" w:color="auto"/>
            <w:left w:val="none" w:sz="0" w:space="0" w:color="auto"/>
            <w:bottom w:val="none" w:sz="0" w:space="0" w:color="auto"/>
            <w:right w:val="none" w:sz="0" w:space="0" w:color="auto"/>
          </w:divBdr>
          <w:divsChild>
            <w:div w:id="1244415053">
              <w:marLeft w:val="0"/>
              <w:marRight w:val="0"/>
              <w:marTop w:val="0"/>
              <w:marBottom w:val="0"/>
              <w:divBdr>
                <w:top w:val="none" w:sz="0" w:space="0" w:color="auto"/>
                <w:left w:val="none" w:sz="0" w:space="0" w:color="auto"/>
                <w:bottom w:val="none" w:sz="0" w:space="0" w:color="auto"/>
                <w:right w:val="none" w:sz="0" w:space="0" w:color="auto"/>
              </w:divBdr>
              <w:divsChild>
                <w:div w:id="17328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5467">
      <w:bodyDiv w:val="1"/>
      <w:marLeft w:val="0"/>
      <w:marRight w:val="0"/>
      <w:marTop w:val="0"/>
      <w:marBottom w:val="0"/>
      <w:divBdr>
        <w:top w:val="none" w:sz="0" w:space="0" w:color="auto"/>
        <w:left w:val="none" w:sz="0" w:space="0" w:color="auto"/>
        <w:bottom w:val="none" w:sz="0" w:space="0" w:color="auto"/>
        <w:right w:val="none" w:sz="0" w:space="0" w:color="auto"/>
      </w:divBdr>
      <w:divsChild>
        <w:div w:id="1014648690">
          <w:marLeft w:val="0"/>
          <w:marRight w:val="0"/>
          <w:marTop w:val="0"/>
          <w:marBottom w:val="0"/>
          <w:divBdr>
            <w:top w:val="none" w:sz="0" w:space="0" w:color="auto"/>
            <w:left w:val="none" w:sz="0" w:space="0" w:color="auto"/>
            <w:bottom w:val="none" w:sz="0" w:space="0" w:color="auto"/>
            <w:right w:val="none" w:sz="0" w:space="0" w:color="auto"/>
          </w:divBdr>
          <w:divsChild>
            <w:div w:id="44061687">
              <w:marLeft w:val="0"/>
              <w:marRight w:val="0"/>
              <w:marTop w:val="0"/>
              <w:marBottom w:val="0"/>
              <w:divBdr>
                <w:top w:val="none" w:sz="0" w:space="0" w:color="auto"/>
                <w:left w:val="none" w:sz="0" w:space="0" w:color="auto"/>
                <w:bottom w:val="none" w:sz="0" w:space="0" w:color="auto"/>
                <w:right w:val="none" w:sz="0" w:space="0" w:color="auto"/>
              </w:divBdr>
              <w:divsChild>
                <w:div w:id="4408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4747</Words>
  <Characters>25162</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CMS Kluge</cp:lastModifiedBy>
  <cp:revision>64</cp:revision>
  <dcterms:created xsi:type="dcterms:W3CDTF">2023-04-24T12:39:00Z</dcterms:created>
  <dcterms:modified xsi:type="dcterms:W3CDTF">2023-04-24T14:03:00Z</dcterms:modified>
</cp:coreProperties>
</file>