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D368" w14:textId="77777777" w:rsidR="00EE57ED" w:rsidRPr="00FB1C88" w:rsidRDefault="00EE57ED" w:rsidP="00EE57ED">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44DCFF8B" w14:textId="18E99D40" w:rsidR="00EE57ED" w:rsidRPr="00FB1C88" w:rsidRDefault="00EE57ED" w:rsidP="00EE57ED">
      <w:pPr>
        <w:jc w:val="center"/>
        <w:rPr>
          <w:rFonts w:ascii="Times New Roman" w:hAnsi="Times New Roman" w:cs="Times New Roman"/>
        </w:rPr>
      </w:pPr>
      <w:r w:rsidRPr="00FB1C88">
        <w:rPr>
          <w:rFonts w:ascii="Times New Roman" w:hAnsi="Times New Roman" w:cs="Times New Roman"/>
        </w:rPr>
        <w:t xml:space="preserve">Fag: </w:t>
      </w:r>
      <w:r w:rsidR="00D96995">
        <w:rPr>
          <w:rFonts w:ascii="Times New Roman" w:hAnsi="Times New Roman" w:cs="Times New Roman"/>
        </w:rPr>
        <w:t>BRV105 Forvaltningsrett I</w:t>
      </w:r>
    </w:p>
    <w:p w14:paraId="6D444B43" w14:textId="16FC5752" w:rsidR="00EE57ED" w:rsidRPr="00FB1C88" w:rsidRDefault="00EE57ED" w:rsidP="00EE57ED">
      <w:pPr>
        <w:jc w:val="center"/>
        <w:rPr>
          <w:rFonts w:ascii="Times New Roman" w:hAnsi="Times New Roman" w:cs="Times New Roman"/>
        </w:rPr>
      </w:pPr>
      <w:r w:rsidRPr="00FB1C88">
        <w:rPr>
          <w:rFonts w:ascii="Times New Roman" w:hAnsi="Times New Roman" w:cs="Times New Roman"/>
        </w:rPr>
        <w:t>Eksamensdato</w:t>
      </w:r>
      <w:r w:rsidR="00EE16A1">
        <w:rPr>
          <w:rFonts w:ascii="Times New Roman" w:hAnsi="Times New Roman" w:cs="Times New Roman"/>
        </w:rPr>
        <w:t>:</w:t>
      </w:r>
      <w:r w:rsidR="00D96995">
        <w:rPr>
          <w:rFonts w:ascii="Times New Roman" w:hAnsi="Times New Roman" w:cs="Times New Roman"/>
        </w:rPr>
        <w:t xml:space="preserve"> 11.12.2020</w:t>
      </w:r>
    </w:p>
    <w:p w14:paraId="70084C63" w14:textId="6B1090B0" w:rsidR="00EE57ED" w:rsidRPr="00FB1C88" w:rsidRDefault="00EE57ED" w:rsidP="00EE57ED">
      <w:pPr>
        <w:jc w:val="center"/>
        <w:rPr>
          <w:rFonts w:ascii="Times New Roman" w:hAnsi="Times New Roman" w:cs="Times New Roman"/>
        </w:rPr>
      </w:pPr>
      <w:r w:rsidRPr="00FB1C88">
        <w:rPr>
          <w:rFonts w:ascii="Times New Roman" w:hAnsi="Times New Roman" w:cs="Times New Roman"/>
        </w:rPr>
        <w:t xml:space="preserve">Kandidat: </w:t>
      </w:r>
      <w:r w:rsidR="00D0266B">
        <w:rPr>
          <w:rFonts w:ascii="Times New Roman" w:hAnsi="Times New Roman" w:cs="Times New Roman"/>
        </w:rPr>
        <w:t>Anonym</w:t>
      </w:r>
    </w:p>
    <w:p w14:paraId="09676655" w14:textId="77777777" w:rsidR="00EE57ED" w:rsidRPr="00FB1C88" w:rsidRDefault="00EE57ED" w:rsidP="00EE57ED">
      <w:pPr>
        <w:jc w:val="center"/>
        <w:rPr>
          <w:rFonts w:ascii="Times New Roman" w:hAnsi="Times New Roman" w:cs="Times New Roman"/>
        </w:rPr>
      </w:pPr>
    </w:p>
    <w:p w14:paraId="5ECD81CD" w14:textId="60F7CC06" w:rsidR="00EE57ED" w:rsidRPr="0095134D" w:rsidRDefault="00EE57ED" w:rsidP="00EE57ED">
      <w:pPr>
        <w:jc w:val="center"/>
        <w:rPr>
          <w:rFonts w:ascii="Times New Roman" w:hAnsi="Times New Roman" w:cs="Times New Roman"/>
        </w:rPr>
      </w:pPr>
      <w:r w:rsidRPr="0095134D">
        <w:rPr>
          <w:rFonts w:ascii="Times New Roman" w:hAnsi="Times New Roman" w:cs="Times New Roman"/>
        </w:rPr>
        <w:t xml:space="preserve">Besvarelse kommentert av: </w:t>
      </w:r>
    </w:p>
    <w:p w14:paraId="1D5AEF5A" w14:textId="2E99CDC6" w:rsidR="0095134D" w:rsidRPr="0095134D" w:rsidRDefault="0095134D" w:rsidP="00EE57ED">
      <w:pPr>
        <w:jc w:val="center"/>
        <w:rPr>
          <w:rFonts w:ascii="Times New Roman" w:hAnsi="Times New Roman" w:cs="Times New Roman"/>
        </w:rPr>
      </w:pPr>
      <w:r w:rsidRPr="0095134D">
        <w:rPr>
          <w:rFonts w:ascii="Times New Roman" w:hAnsi="Times New Roman" w:cs="Times New Roman"/>
        </w:rPr>
        <w:t>CMS Kluge</w:t>
      </w:r>
    </w:p>
    <w:p w14:paraId="6ADE7527" w14:textId="48C5A235" w:rsidR="00C7559F" w:rsidRPr="0095134D" w:rsidRDefault="00C7559F" w:rsidP="00EE57ED">
      <w:pPr>
        <w:jc w:val="center"/>
        <w:rPr>
          <w:rFonts w:ascii="Times New Roman" w:hAnsi="Times New Roman" w:cs="Times New Roman"/>
        </w:rPr>
      </w:pPr>
      <w:r w:rsidRPr="0095134D">
        <w:rPr>
          <w:rFonts w:ascii="Times New Roman" w:hAnsi="Times New Roman" w:cs="Times New Roman"/>
        </w:rPr>
        <w:t>Ingeborg Ousdal og Stine Rørtveit</w:t>
      </w:r>
    </w:p>
    <w:p w14:paraId="0CF974C9" w14:textId="77777777" w:rsidR="00EE57ED" w:rsidRPr="00FB1C88" w:rsidRDefault="00EE57ED" w:rsidP="00EE57ED">
      <w:pPr>
        <w:jc w:val="center"/>
        <w:rPr>
          <w:rFonts w:ascii="Times New Roman" w:hAnsi="Times New Roman" w:cs="Times New Roman"/>
        </w:rPr>
      </w:pPr>
    </w:p>
    <w:p w14:paraId="5901F84B" w14:textId="77777777" w:rsidR="00EE57ED" w:rsidRPr="00FB1C88" w:rsidRDefault="00EE57ED" w:rsidP="00EE57ED">
      <w:pPr>
        <w:jc w:val="center"/>
        <w:rPr>
          <w:rFonts w:ascii="Times New Roman" w:hAnsi="Times New Roman" w:cs="Times New Roman"/>
        </w:rPr>
      </w:pPr>
    </w:p>
    <w:p w14:paraId="3B9F34B5" w14:textId="77777777" w:rsidR="00EE57ED" w:rsidRPr="00FB1C88" w:rsidRDefault="00EE57ED" w:rsidP="00EE57ED">
      <w:pPr>
        <w:jc w:val="center"/>
        <w:rPr>
          <w:rFonts w:ascii="Times New Roman" w:hAnsi="Times New Roman" w:cs="Times New Roman"/>
        </w:rPr>
      </w:pPr>
    </w:p>
    <w:p w14:paraId="65B5C6F6" w14:textId="77777777" w:rsidR="00EE57ED" w:rsidRPr="00FB1C88" w:rsidRDefault="00EE57ED" w:rsidP="00EE57ED">
      <w:pPr>
        <w:jc w:val="center"/>
        <w:rPr>
          <w:rFonts w:ascii="Times New Roman" w:hAnsi="Times New Roman" w:cs="Times New Roman"/>
        </w:rPr>
      </w:pPr>
      <w:r w:rsidRPr="00FB1C88">
        <w:rPr>
          <w:rFonts w:ascii="Times New Roman" w:hAnsi="Times New Roman" w:cs="Times New Roman"/>
        </w:rPr>
        <w:t>I samarbeid med</w:t>
      </w:r>
    </w:p>
    <w:p w14:paraId="099EC8F3" w14:textId="77777777" w:rsidR="00EE57ED" w:rsidRPr="00FB1C88" w:rsidRDefault="00EE57ED" w:rsidP="00EE57ED">
      <w:pPr>
        <w:jc w:val="center"/>
        <w:rPr>
          <w:rFonts w:ascii="Times New Roman" w:hAnsi="Times New Roman" w:cs="Times New Roman"/>
        </w:rPr>
      </w:pPr>
    </w:p>
    <w:p w14:paraId="2B8FD63D" w14:textId="77777777" w:rsidR="00EE57ED" w:rsidRPr="00FB1C88" w:rsidRDefault="00EE57ED" w:rsidP="00EE57ED">
      <w:pPr>
        <w:jc w:val="center"/>
        <w:rPr>
          <w:rFonts w:ascii="Times New Roman" w:hAnsi="Times New Roman" w:cs="Times New Roman"/>
        </w:rPr>
      </w:pPr>
      <w:r w:rsidRPr="00FB1C88">
        <w:rPr>
          <w:rFonts w:ascii="Times New Roman" w:hAnsi="Times New Roman" w:cs="Times New Roman"/>
          <w:noProof/>
        </w:rPr>
        <w:drawing>
          <wp:inline distT="0" distB="0" distL="0" distR="0" wp14:anchorId="37FA1F18" wp14:editId="1187A6E1">
            <wp:extent cx="1668621" cy="1436868"/>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fo_logo_far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7169" cy="1444229"/>
                    </a:xfrm>
                    <a:prstGeom prst="rect">
                      <a:avLst/>
                    </a:prstGeom>
                  </pic:spPr>
                </pic:pic>
              </a:graphicData>
            </a:graphic>
          </wp:inline>
        </w:drawing>
      </w:r>
    </w:p>
    <w:p w14:paraId="481AB255" w14:textId="77777777" w:rsidR="00EE57ED" w:rsidRPr="00FB1C88" w:rsidRDefault="00EE57ED" w:rsidP="00EE57ED">
      <w:pPr>
        <w:jc w:val="center"/>
        <w:rPr>
          <w:rFonts w:ascii="Times New Roman" w:hAnsi="Times New Roman" w:cs="Times New Roman"/>
          <w:sz w:val="20"/>
          <w:szCs w:val="20"/>
        </w:rPr>
      </w:pPr>
    </w:p>
    <w:p w14:paraId="43384E5B" w14:textId="5C274E9C" w:rsidR="00EE57ED" w:rsidRPr="00FB1C88" w:rsidRDefault="00EE57ED" w:rsidP="00EE57ED">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sidR="007A41F7">
        <w:rPr>
          <w:rFonts w:ascii="Times New Roman" w:hAnsi="Times New Roman" w:cs="Times New Roman"/>
          <w:sz w:val="20"/>
          <w:szCs w:val="20"/>
        </w:rPr>
        <w:t xml:space="preserve"> Nora Yasmin Olsen</w:t>
      </w:r>
      <w:r w:rsidRPr="00FB1C88">
        <w:rPr>
          <w:rFonts w:ascii="Times New Roman" w:hAnsi="Times New Roman" w:cs="Times New Roman"/>
          <w:sz w:val="20"/>
          <w:szCs w:val="20"/>
        </w:rPr>
        <w:t>, fagansvarlig JUFO 20</w:t>
      </w:r>
      <w:r w:rsidR="007A41F7">
        <w:rPr>
          <w:rFonts w:ascii="Times New Roman" w:hAnsi="Times New Roman" w:cs="Times New Roman"/>
          <w:sz w:val="20"/>
          <w:szCs w:val="20"/>
        </w:rPr>
        <w:t>21</w:t>
      </w:r>
      <w:r>
        <w:rPr>
          <w:rFonts w:ascii="Times New Roman" w:hAnsi="Times New Roman" w:cs="Times New Roman"/>
          <w:sz w:val="20"/>
          <w:szCs w:val="20"/>
        </w:rPr>
        <w:t xml:space="preserve">. Oppgaven inneholder både kandidatens besvarelse og oppgaveteksten. Da oppgaveteksten vises løpende i oppgaven er denne farget lysegrå slik at det skal være lettere å skille fra kandidatens besvarelse. </w:t>
      </w:r>
    </w:p>
    <w:p w14:paraId="6222CCFA" w14:textId="77777777" w:rsidR="00EE57ED" w:rsidRPr="00FB1C88" w:rsidRDefault="00EE57ED" w:rsidP="00EE57ED">
      <w:pPr>
        <w:jc w:val="center"/>
        <w:rPr>
          <w:rFonts w:ascii="Times New Roman" w:hAnsi="Times New Roman" w:cs="Times New Roman"/>
        </w:rPr>
      </w:pPr>
    </w:p>
    <w:p w14:paraId="6C1E7D71" w14:textId="77777777" w:rsidR="00EE57ED" w:rsidRPr="00FB1C88" w:rsidRDefault="00EE57ED" w:rsidP="00EE57ED">
      <w:pPr>
        <w:jc w:val="center"/>
        <w:rPr>
          <w:rFonts w:ascii="Times New Roman" w:hAnsi="Times New Roman" w:cs="Times New Roman"/>
        </w:rPr>
      </w:pPr>
    </w:p>
    <w:p w14:paraId="68BF4418" w14:textId="77777777" w:rsidR="00EE57ED" w:rsidRPr="00FB1C88" w:rsidRDefault="00EE57ED" w:rsidP="00EE57ED">
      <w:pPr>
        <w:jc w:val="center"/>
        <w:rPr>
          <w:rFonts w:ascii="Times New Roman" w:hAnsi="Times New Roman" w:cs="Times New Roman"/>
        </w:rPr>
      </w:pPr>
    </w:p>
    <w:p w14:paraId="0CA44A3A" w14:textId="77777777" w:rsidR="00EE57ED" w:rsidRPr="00FB1C88" w:rsidRDefault="00EE57ED" w:rsidP="00EE57ED">
      <w:pPr>
        <w:jc w:val="center"/>
        <w:rPr>
          <w:rFonts w:ascii="Times New Roman" w:hAnsi="Times New Roman" w:cs="Times New Roman"/>
        </w:rPr>
      </w:pPr>
    </w:p>
    <w:p w14:paraId="15C05011" w14:textId="77777777" w:rsidR="00EE57ED" w:rsidRPr="00FB1C88" w:rsidRDefault="00EE57ED" w:rsidP="00EE57ED">
      <w:pPr>
        <w:jc w:val="center"/>
        <w:rPr>
          <w:rFonts w:ascii="Times New Roman" w:hAnsi="Times New Roman" w:cs="Times New Roman"/>
        </w:rPr>
      </w:pPr>
    </w:p>
    <w:p w14:paraId="0DCC4A1C" w14:textId="77777777" w:rsidR="00EE57ED" w:rsidRPr="00FB1C88" w:rsidRDefault="00EE57ED" w:rsidP="00EE57ED">
      <w:pPr>
        <w:jc w:val="center"/>
        <w:rPr>
          <w:rFonts w:ascii="Times New Roman" w:hAnsi="Times New Roman" w:cs="Times New Roman"/>
        </w:rPr>
      </w:pPr>
    </w:p>
    <w:p w14:paraId="7143D4E8" w14:textId="77777777" w:rsidR="00EE57ED" w:rsidRPr="00FB1C88" w:rsidRDefault="00EE57ED" w:rsidP="00EE57ED">
      <w:pPr>
        <w:jc w:val="center"/>
        <w:rPr>
          <w:rFonts w:ascii="Times New Roman" w:hAnsi="Times New Roman" w:cs="Times New Roman"/>
        </w:rPr>
      </w:pPr>
    </w:p>
    <w:p w14:paraId="524BC616" w14:textId="77777777" w:rsidR="00EE57ED" w:rsidRPr="00FB1C88" w:rsidRDefault="00EE57ED" w:rsidP="00EE57ED">
      <w:pPr>
        <w:jc w:val="center"/>
        <w:rPr>
          <w:rFonts w:ascii="Times New Roman" w:hAnsi="Times New Roman" w:cs="Times New Roman"/>
        </w:rPr>
      </w:pPr>
    </w:p>
    <w:p w14:paraId="3FFB12EF" w14:textId="77777777" w:rsidR="00EE57ED" w:rsidRPr="00FB1C88" w:rsidRDefault="00EE57ED" w:rsidP="00EE57ED">
      <w:pPr>
        <w:jc w:val="center"/>
        <w:rPr>
          <w:rFonts w:ascii="Times New Roman" w:hAnsi="Times New Roman" w:cs="Times New Roman"/>
        </w:rPr>
      </w:pPr>
    </w:p>
    <w:p w14:paraId="1E12259B" w14:textId="77777777" w:rsidR="00EE57ED" w:rsidRPr="00FB1C88" w:rsidRDefault="00EE57ED" w:rsidP="00EE57ED">
      <w:pPr>
        <w:jc w:val="center"/>
        <w:rPr>
          <w:rFonts w:ascii="Times New Roman" w:hAnsi="Times New Roman" w:cs="Times New Roman"/>
        </w:rPr>
      </w:pPr>
    </w:p>
    <w:p w14:paraId="3939696D" w14:textId="77777777" w:rsidR="00EE57ED" w:rsidRPr="00FB1C88" w:rsidRDefault="00EE57ED" w:rsidP="00EE57ED">
      <w:pPr>
        <w:jc w:val="center"/>
        <w:rPr>
          <w:rFonts w:ascii="Times New Roman" w:hAnsi="Times New Roman" w:cs="Times New Roman"/>
        </w:rPr>
      </w:pPr>
    </w:p>
    <w:p w14:paraId="6A8E4453" w14:textId="77777777" w:rsidR="00EE57ED" w:rsidRPr="00FB1C88" w:rsidRDefault="00EE57ED" w:rsidP="00EE57ED">
      <w:pPr>
        <w:jc w:val="center"/>
        <w:rPr>
          <w:rFonts w:ascii="Times New Roman" w:hAnsi="Times New Roman" w:cs="Times New Roman"/>
        </w:rPr>
      </w:pPr>
    </w:p>
    <w:p w14:paraId="6EE01A29" w14:textId="77777777" w:rsidR="00EE57ED" w:rsidRPr="00FB1C88" w:rsidRDefault="00EE57ED" w:rsidP="00EE57ED">
      <w:pPr>
        <w:jc w:val="center"/>
        <w:rPr>
          <w:rFonts w:ascii="Times New Roman" w:hAnsi="Times New Roman" w:cs="Times New Roman"/>
        </w:rPr>
      </w:pPr>
    </w:p>
    <w:p w14:paraId="26589A52" w14:textId="77777777" w:rsidR="00EE57ED" w:rsidRPr="00FB1C88" w:rsidRDefault="00EE57ED" w:rsidP="00EE57ED">
      <w:pPr>
        <w:jc w:val="center"/>
        <w:rPr>
          <w:rFonts w:ascii="Times New Roman" w:hAnsi="Times New Roman" w:cs="Times New Roman"/>
        </w:rPr>
      </w:pPr>
    </w:p>
    <w:p w14:paraId="30250658" w14:textId="77777777" w:rsidR="00EE57ED" w:rsidRPr="00FB1C88" w:rsidRDefault="00EE57ED" w:rsidP="00EE57ED">
      <w:pPr>
        <w:jc w:val="center"/>
        <w:rPr>
          <w:rFonts w:ascii="Times New Roman" w:hAnsi="Times New Roman" w:cs="Times New Roman"/>
        </w:rPr>
      </w:pPr>
    </w:p>
    <w:p w14:paraId="17712D8C" w14:textId="77777777" w:rsidR="00EE57ED" w:rsidRPr="00FB1C88" w:rsidRDefault="00EE57ED" w:rsidP="00EE57ED">
      <w:pPr>
        <w:jc w:val="center"/>
        <w:rPr>
          <w:rFonts w:ascii="Times New Roman" w:hAnsi="Times New Roman" w:cs="Times New Roman"/>
        </w:rPr>
      </w:pPr>
    </w:p>
    <w:p w14:paraId="6BED0396" w14:textId="77777777" w:rsidR="00EE57ED" w:rsidRPr="00FB1C88" w:rsidRDefault="00EE57ED" w:rsidP="00EE57ED">
      <w:pPr>
        <w:jc w:val="center"/>
        <w:rPr>
          <w:rFonts w:ascii="Times New Roman" w:hAnsi="Times New Roman" w:cs="Times New Roman"/>
        </w:rPr>
      </w:pPr>
    </w:p>
    <w:p w14:paraId="7EAF8660" w14:textId="77777777" w:rsidR="00EE57ED" w:rsidRPr="00FB1C88" w:rsidRDefault="00EE57ED" w:rsidP="00EE57ED">
      <w:pPr>
        <w:jc w:val="center"/>
        <w:rPr>
          <w:rFonts w:ascii="Times New Roman" w:hAnsi="Times New Roman" w:cs="Times New Roman"/>
        </w:rPr>
      </w:pPr>
    </w:p>
    <w:p w14:paraId="2EC31EDE" w14:textId="77777777" w:rsidR="00EE57ED" w:rsidRPr="00FB1C88" w:rsidRDefault="00EE57ED" w:rsidP="00EE57ED">
      <w:pPr>
        <w:jc w:val="center"/>
        <w:rPr>
          <w:rFonts w:ascii="Times New Roman" w:hAnsi="Times New Roman" w:cs="Times New Roman"/>
        </w:rPr>
      </w:pPr>
    </w:p>
    <w:p w14:paraId="0E83E638" w14:textId="77777777" w:rsidR="00EE57ED" w:rsidRPr="00FB1C88" w:rsidRDefault="00EE57ED" w:rsidP="00EE57ED">
      <w:pPr>
        <w:jc w:val="center"/>
        <w:rPr>
          <w:rFonts w:ascii="Times New Roman" w:hAnsi="Times New Roman" w:cs="Times New Roman"/>
        </w:rPr>
      </w:pPr>
    </w:p>
    <w:p w14:paraId="7523B554" w14:textId="77777777" w:rsidR="00EE57ED" w:rsidRPr="00FB1C88" w:rsidRDefault="00EE57ED" w:rsidP="00EE57ED">
      <w:pPr>
        <w:jc w:val="center"/>
        <w:rPr>
          <w:rFonts w:ascii="Times New Roman" w:hAnsi="Times New Roman" w:cs="Times New Roman"/>
        </w:rPr>
      </w:pPr>
    </w:p>
    <w:p w14:paraId="75F04030" w14:textId="77777777" w:rsidR="00EE57ED" w:rsidRPr="00FB1C88" w:rsidRDefault="00EE57ED" w:rsidP="00EE57ED">
      <w:pPr>
        <w:jc w:val="center"/>
        <w:rPr>
          <w:rFonts w:ascii="Times New Roman" w:hAnsi="Times New Roman" w:cs="Times New Roman"/>
        </w:rPr>
      </w:pPr>
    </w:p>
    <w:p w14:paraId="1CDB6834" w14:textId="77777777" w:rsidR="00EE57ED" w:rsidRPr="00FB1C88" w:rsidRDefault="00EE57ED" w:rsidP="00EE57ED">
      <w:pPr>
        <w:jc w:val="center"/>
        <w:rPr>
          <w:rFonts w:ascii="Times New Roman" w:hAnsi="Times New Roman" w:cs="Times New Roman"/>
        </w:rPr>
      </w:pPr>
    </w:p>
    <w:p w14:paraId="2839429F" w14:textId="77777777" w:rsidR="00EE57ED" w:rsidRPr="00FB1C88" w:rsidRDefault="00EE57ED" w:rsidP="00EE57ED">
      <w:pPr>
        <w:rPr>
          <w:rFonts w:ascii="Times New Roman" w:hAnsi="Times New Roman" w:cs="Times New Roman"/>
        </w:rPr>
      </w:pPr>
    </w:p>
    <w:p w14:paraId="37BD9C4A" w14:textId="77777777" w:rsidR="00EE57ED" w:rsidRDefault="00EE57ED" w:rsidP="00EE57ED">
      <w:pPr>
        <w:rPr>
          <w:rFonts w:ascii="Times New Roman" w:hAnsi="Times New Roman" w:cs="Times New Roman"/>
        </w:rPr>
      </w:pPr>
    </w:p>
    <w:p w14:paraId="00218426" w14:textId="77777777" w:rsidR="00EE57ED" w:rsidRDefault="00EE57ED" w:rsidP="00EE57ED">
      <w:pPr>
        <w:rPr>
          <w:rFonts w:ascii="Times New Roman" w:hAnsi="Times New Roman" w:cs="Times New Roman"/>
        </w:rPr>
      </w:pPr>
    </w:p>
    <w:p w14:paraId="5DCB3880" w14:textId="77777777" w:rsidR="00905D5F" w:rsidRPr="00905D5F" w:rsidRDefault="00905D5F" w:rsidP="00D96995">
      <w:pPr>
        <w:rPr>
          <w:rFonts w:ascii="Times New Roman" w:eastAsia="Times New Roman" w:hAnsi="Times New Roman" w:cs="Times New Roman"/>
          <w:color w:val="767171" w:themeColor="background2" w:themeShade="80"/>
          <w:lang w:eastAsia="nb-NO"/>
        </w:rPr>
      </w:pPr>
    </w:p>
    <w:p w14:paraId="1E5C2AF3" w14:textId="77777777" w:rsidR="00D96995" w:rsidRPr="00CE7FE3" w:rsidRDefault="00D96995" w:rsidP="00D96995">
      <w:pPr>
        <w:spacing w:line="360" w:lineRule="auto"/>
        <w:rPr>
          <w:rFonts w:ascii="Times New Roman" w:eastAsia="Times New Roman" w:hAnsi="Times New Roman" w:cs="Times New Roman"/>
          <w:color w:val="767171" w:themeColor="background2" w:themeShade="80"/>
          <w:lang w:eastAsia="nb-NO"/>
        </w:rPr>
      </w:pPr>
      <w:r w:rsidRPr="00CE7FE3">
        <w:rPr>
          <w:rFonts w:ascii="Times New Roman" w:eastAsia="Times New Roman" w:hAnsi="Times New Roman" w:cs="Times New Roman"/>
          <w:color w:val="767171" w:themeColor="background2" w:themeShade="80"/>
          <w:lang w:eastAsia="nb-NO"/>
        </w:rPr>
        <w:t xml:space="preserve">Per Olsen og Lise Larsen hadde tidligere vært forlovet og samboere, under studietiden i Bergen på 1990-tallet. Her hadde de begge studert kjemi, men ikke på samme studieår. Lise hadde som mastergradsstudent vært såkalt arbeidsgruppeleder (studentveileder) for Per når han var bachelorstudent. Per kunne aldri glemme den første A-karakteren han fikk av Lise på en obligatorisk innleveringsoppgave. De fikk et godt øye til hverandre på en studentfest og Per ble med Lise hjem. Dagen etter hentet Per tingene sine og flyttet inn til Lise. På kvelden samme dag forlovet de seg. En uke etterpå ble de enige om å bryte forlovelsen og Per flyttet ut. Kjemien mellom dem slo sprekker. Lise stemte Frp og Per stemte SV, og de ble etter hvert bare sittende å krangle om politikk. De skilte likevel lag som venner. Lise ble uteksaminert en uke etter at Per hadde flyttet ut. Lise flyttet umiddelbart til Oslo og Lise og Per så ikke noe til hverandre på mange år. </w:t>
      </w:r>
    </w:p>
    <w:p w14:paraId="50E87794" w14:textId="77777777" w:rsidR="00D96995" w:rsidRPr="00CE7FE3" w:rsidRDefault="00D96995" w:rsidP="00D96995">
      <w:pPr>
        <w:spacing w:line="360" w:lineRule="auto"/>
        <w:rPr>
          <w:rFonts w:ascii="Times New Roman" w:eastAsia="Times New Roman" w:hAnsi="Times New Roman" w:cs="Times New Roman"/>
          <w:color w:val="767171" w:themeColor="background2" w:themeShade="80"/>
          <w:lang w:eastAsia="nb-NO"/>
        </w:rPr>
      </w:pPr>
    </w:p>
    <w:p w14:paraId="014057AA" w14:textId="77777777" w:rsidR="00D96995" w:rsidRPr="00CE7FE3" w:rsidRDefault="00D96995" w:rsidP="00D96995">
      <w:pPr>
        <w:spacing w:line="360" w:lineRule="auto"/>
        <w:rPr>
          <w:rFonts w:ascii="Times New Roman" w:eastAsia="Times New Roman" w:hAnsi="Times New Roman" w:cs="Times New Roman"/>
          <w:color w:val="767171" w:themeColor="background2" w:themeShade="80"/>
          <w:lang w:eastAsia="nb-NO"/>
        </w:rPr>
      </w:pPr>
      <w:r w:rsidRPr="00CE7FE3">
        <w:rPr>
          <w:rFonts w:ascii="Times New Roman" w:eastAsia="Times New Roman" w:hAnsi="Times New Roman" w:cs="Times New Roman"/>
          <w:color w:val="767171" w:themeColor="background2" w:themeShade="80"/>
          <w:lang w:eastAsia="nb-NO"/>
        </w:rPr>
        <w:t xml:space="preserve">Gjensynsgleden var stor da de traff hverandre igjen på en konferanse i Tromsø knyttet til fremtidige desinfeksjonsmidler mot Covid-19 og andre virusinfeksjoner, sommeren 2020. De fikk vekslet noen i ord i kaffepausen og det fremkom at de begge hadde stiftet familie og både jobbet og bodde i Oslo. Per hadde nylig tatt med seg familien og flyttet til Oslo grunnet ny jobb. Den korte gjenforeningen ble også både komisk og forbløffende, når Lise gjorde Per oppmerksom på at Per sin onkel nylig hadde giftet seg med Lise sin tante. De ble enige om å ta en kaffe en dag det passet seg. </w:t>
      </w:r>
    </w:p>
    <w:p w14:paraId="1C6FC1A4" w14:textId="77777777" w:rsidR="00D96995" w:rsidRPr="00CE7FE3" w:rsidRDefault="00D96995" w:rsidP="00D96995">
      <w:pPr>
        <w:spacing w:line="360" w:lineRule="auto"/>
        <w:rPr>
          <w:rFonts w:ascii="Times New Roman" w:eastAsia="Times New Roman" w:hAnsi="Times New Roman" w:cs="Times New Roman"/>
          <w:color w:val="767171" w:themeColor="background2" w:themeShade="80"/>
          <w:lang w:eastAsia="nb-NO"/>
        </w:rPr>
      </w:pPr>
    </w:p>
    <w:p w14:paraId="066482DB" w14:textId="77777777" w:rsidR="00D96995" w:rsidRPr="00CE7FE3" w:rsidRDefault="00D96995" w:rsidP="00D96995">
      <w:pPr>
        <w:spacing w:line="360" w:lineRule="auto"/>
        <w:rPr>
          <w:rFonts w:ascii="Times New Roman" w:eastAsia="Times New Roman" w:hAnsi="Times New Roman" w:cs="Times New Roman"/>
          <w:color w:val="767171" w:themeColor="background2" w:themeShade="80"/>
          <w:lang w:eastAsia="nb-NO"/>
        </w:rPr>
      </w:pPr>
      <w:r w:rsidRPr="00CE7FE3">
        <w:rPr>
          <w:rFonts w:ascii="Times New Roman" w:eastAsia="Times New Roman" w:hAnsi="Times New Roman" w:cs="Times New Roman"/>
          <w:color w:val="767171" w:themeColor="background2" w:themeShade="80"/>
          <w:lang w:eastAsia="nb-NO"/>
        </w:rPr>
        <w:t xml:space="preserve">Lise var avdelingsleder i selskapet Nextvirus AS. Det var også hun som hadde grunnlagt selskapet og hun eide 10 prosent av aksjene. Nextvirus AS søkte om markedsføringstillatelse (godkjenning) i Norge av et desinfeksjonsmiddel til bruk i kampen mot virusinfeksjoner, høsten 2020. Preparatet hadde i kliniske forsøk vist 40 prosent effektivitet, men med visse bivirkninger. Nextvirus AS hadde investert store verdier i preparatet og dette var det eneste preparatet selskapet hadde. Lise hadde også personlig investert mye i selskapet. Produkter til desinfeksjon som skal brukes medisinsk, for eksempel til å rense et sår eller vaske en pasient før et kirurgisk inngrep, klassifiserer som legemidler. Slike produkter kan markedsføres ved at de beskytter mot infeksjon. Legemidler må ha markedsføringstillatelse før de kan settes på det norske markedet. </w:t>
      </w:r>
    </w:p>
    <w:p w14:paraId="58FCB51B" w14:textId="77777777" w:rsidR="00D96995" w:rsidRPr="00CE7FE3" w:rsidRDefault="00D96995" w:rsidP="00D96995">
      <w:pPr>
        <w:spacing w:line="360" w:lineRule="auto"/>
        <w:rPr>
          <w:rFonts w:ascii="Times New Roman" w:eastAsia="Times New Roman" w:hAnsi="Times New Roman" w:cs="Times New Roman"/>
          <w:color w:val="767171" w:themeColor="background2" w:themeShade="80"/>
          <w:lang w:eastAsia="nb-NO"/>
        </w:rPr>
      </w:pPr>
    </w:p>
    <w:p w14:paraId="71BCAF13" w14:textId="77777777" w:rsidR="00D96995" w:rsidRPr="00CE7FE3" w:rsidRDefault="00D96995" w:rsidP="00D96995">
      <w:pPr>
        <w:spacing w:line="360" w:lineRule="auto"/>
        <w:rPr>
          <w:rFonts w:ascii="Times New Roman" w:eastAsia="Times New Roman" w:hAnsi="Times New Roman" w:cs="Times New Roman"/>
          <w:color w:val="767171" w:themeColor="background2" w:themeShade="80"/>
          <w:lang w:eastAsia="nb-NO"/>
        </w:rPr>
      </w:pPr>
      <w:r w:rsidRPr="00CE7FE3">
        <w:rPr>
          <w:rFonts w:ascii="Times New Roman" w:eastAsia="Times New Roman" w:hAnsi="Times New Roman" w:cs="Times New Roman"/>
          <w:color w:val="767171" w:themeColor="background2" w:themeShade="80"/>
          <w:lang w:eastAsia="nb-NO"/>
        </w:rPr>
        <w:lastRenderedPageBreak/>
        <w:t xml:space="preserve">Per var nemndleder i Spesialitetsnemnda som gav sin tilrådning til Statens legemiddelverk. Etter forslag fra Statens legemiddelverk og Helsedirektoratet oppnevnes Spesialitetsnemndas medlemmer av departementet for en periode på tre år. Nemnda hadde ni medlemmer og hvert nemndsmedlem sin stemme telte likt. Markedsføringstillatelse kan bare utstedes dersom preparatet har et positivt nytte/risikoforhold etter en vurdering av preparatets kvalitet, sikkerhet og effekt. Godkjenning av legemidler skjer i all hovedsak gjennom det europeiske legemiddelsamarbeidet, men det var ikke tilfellet i denne saken. Per var skeptisk til en kjemisk forbindelse som ble benyttet i preparatet og han utarbeidet derfor et notat som viste til mulige negative langtidsvirkninger ved dette virkestoffet. Notatet var en faglig kompleks vurdering som i stor grad støttet seg på Per sin egen doktorgradsavhandling innen toksikologi (studiet av de negative effekter kjemikalier har på levende organismer). Han hadde også i sin tidligere jobb uttalt seg offentlig til VG om de generelle negative sider ved dette stoffet. Notatet hans ble utslagsgivende, og Statens legemiddelverk avslo søknaden på bakgrunn av en enstemmig negativ tilrådning fra nemnda. </w:t>
      </w:r>
    </w:p>
    <w:p w14:paraId="6E956163" w14:textId="77777777" w:rsidR="00D96995" w:rsidRPr="00CE7FE3" w:rsidRDefault="00D96995" w:rsidP="00D96995">
      <w:pPr>
        <w:spacing w:line="360" w:lineRule="auto"/>
        <w:rPr>
          <w:rFonts w:ascii="Times New Roman" w:eastAsia="Times New Roman" w:hAnsi="Times New Roman" w:cs="Times New Roman"/>
          <w:color w:val="767171" w:themeColor="background2" w:themeShade="80"/>
          <w:lang w:eastAsia="nb-NO"/>
        </w:rPr>
      </w:pPr>
    </w:p>
    <w:p w14:paraId="73C60BF9" w14:textId="77777777" w:rsidR="00D96995" w:rsidRPr="00CE7FE3" w:rsidRDefault="00D96995" w:rsidP="00D96995">
      <w:pPr>
        <w:spacing w:line="360" w:lineRule="auto"/>
        <w:rPr>
          <w:rFonts w:ascii="Times New Roman" w:eastAsia="Times New Roman" w:hAnsi="Times New Roman" w:cs="Times New Roman"/>
          <w:color w:val="767171" w:themeColor="background2" w:themeShade="80"/>
          <w:lang w:eastAsia="nb-NO"/>
        </w:rPr>
      </w:pPr>
      <w:r w:rsidRPr="00CE7FE3">
        <w:rPr>
          <w:rFonts w:ascii="Times New Roman" w:eastAsia="Times New Roman" w:hAnsi="Times New Roman" w:cs="Times New Roman"/>
          <w:color w:val="767171" w:themeColor="background2" w:themeShade="80"/>
          <w:lang w:eastAsia="nb-NO"/>
        </w:rPr>
        <w:t xml:space="preserve">Nextvirus AS påklaget avslaget og påsto i klagen at Per Olsen var inhabil. Statens legemiddelverk viste på sin side til at Per var så faglig dyktig og hadde slik integritet at han ikke ville ha latt seg påvirke. Uansett måtte klagen avvises. Statens legemiddelverk anførte at det ikke var truffet noe enkeltvedtak og at Nextvirus AS ikke hadde partsstatus. Avslag på markedsføringstillatelse av desinfeksjonsmidler med relativt dårlig bivirkningsprofil ville jo komme hele befolkningen til gode i denne utfordrende tiden med Covid-19. Et avslag endret heller ikke på rettsstillingen til Nextvirus AS, siden det ikke forelå markedsføringstillatelse fra før. </w:t>
      </w:r>
    </w:p>
    <w:p w14:paraId="0FC636C9" w14:textId="77777777" w:rsidR="00D96995" w:rsidRPr="00CE7FE3" w:rsidRDefault="00D96995" w:rsidP="00D96995">
      <w:pPr>
        <w:spacing w:line="360" w:lineRule="auto"/>
        <w:rPr>
          <w:rFonts w:ascii="Times New Roman" w:eastAsia="Times New Roman" w:hAnsi="Times New Roman" w:cs="Times New Roman"/>
          <w:color w:val="767171" w:themeColor="background2" w:themeShade="80"/>
          <w:lang w:eastAsia="nb-NO"/>
        </w:rPr>
      </w:pPr>
    </w:p>
    <w:p w14:paraId="1BB6B74C" w14:textId="77777777" w:rsidR="00EC0FFC" w:rsidRDefault="00D96995" w:rsidP="00EC0FFC">
      <w:pPr>
        <w:spacing w:line="360" w:lineRule="auto"/>
        <w:rPr>
          <w:rFonts w:ascii="Times New Roman" w:eastAsia="Times New Roman" w:hAnsi="Times New Roman" w:cs="Times New Roman"/>
          <w:b/>
          <w:bCs/>
          <w:color w:val="767171" w:themeColor="background2" w:themeShade="80"/>
          <w:lang w:eastAsia="nb-NO"/>
        </w:rPr>
      </w:pPr>
      <w:r w:rsidRPr="00CE7FE3">
        <w:rPr>
          <w:rFonts w:ascii="Times New Roman" w:eastAsia="Times New Roman" w:hAnsi="Times New Roman" w:cs="Times New Roman"/>
          <w:b/>
          <w:bCs/>
          <w:color w:val="767171" w:themeColor="background2" w:themeShade="80"/>
          <w:lang w:eastAsia="nb-NO"/>
        </w:rPr>
        <w:t xml:space="preserve">Spørsmål 1: Hadde Nextvirus AS klagerett? </w:t>
      </w:r>
    </w:p>
    <w:p w14:paraId="5A2169BC" w14:textId="6AF031E3" w:rsidR="00D96995" w:rsidRPr="00EC0FFC" w:rsidRDefault="00D96995" w:rsidP="00EC0FFC">
      <w:pPr>
        <w:spacing w:line="360" w:lineRule="auto"/>
        <w:rPr>
          <w:rFonts w:ascii="Times New Roman" w:eastAsia="Times New Roman" w:hAnsi="Times New Roman" w:cs="Times New Roman"/>
          <w:b/>
          <w:bCs/>
          <w:color w:val="767171" w:themeColor="background2" w:themeShade="80"/>
          <w:lang w:eastAsia="nb-NO"/>
        </w:rPr>
      </w:pPr>
      <w:r w:rsidRPr="00CE7FE3">
        <w:rPr>
          <w:rFonts w:ascii="Times New Roman" w:hAnsi="Times New Roman" w:cs="Times New Roman"/>
        </w:rPr>
        <w:t xml:space="preserve">Rettslig grunnlag er forvaltningsloven § </w:t>
      </w:r>
      <w:commentRangeStart w:id="0"/>
      <w:r w:rsidRPr="00CE7FE3">
        <w:rPr>
          <w:rFonts w:ascii="Times New Roman" w:hAnsi="Times New Roman" w:cs="Times New Roman"/>
        </w:rPr>
        <w:t>28</w:t>
      </w:r>
      <w:commentRangeEnd w:id="0"/>
      <w:r w:rsidR="00A55179">
        <w:rPr>
          <w:rStyle w:val="Merknadsreferanse"/>
        </w:rPr>
        <w:commentReference w:id="0"/>
      </w:r>
      <w:r w:rsidRPr="00CE7FE3">
        <w:rPr>
          <w:rFonts w:ascii="Times New Roman" w:hAnsi="Times New Roman" w:cs="Times New Roman"/>
        </w:rPr>
        <w:t xml:space="preserve">. </w:t>
      </w:r>
    </w:p>
    <w:p w14:paraId="4EE23879" w14:textId="77777777" w:rsidR="00D96995" w:rsidRPr="00CE7FE3" w:rsidRDefault="00D96995" w:rsidP="00D96995">
      <w:pPr>
        <w:pStyle w:val="NormalWeb"/>
        <w:spacing w:line="360" w:lineRule="auto"/>
      </w:pPr>
      <w:r w:rsidRPr="00CE7FE3">
        <w:t xml:space="preserve">Saken behandles av Statens legemiddelverk som er </w:t>
      </w:r>
      <w:proofErr w:type="gramStart"/>
      <w:r w:rsidRPr="00CE7FE3">
        <w:t>et ”organ</w:t>
      </w:r>
      <w:proofErr w:type="gramEnd"/>
      <w:r w:rsidRPr="00CE7FE3">
        <w:t xml:space="preserve"> for stat”, jf. § 1. Forvaltningsloven kommer til </w:t>
      </w:r>
      <w:commentRangeStart w:id="1"/>
      <w:r w:rsidRPr="00CE7FE3">
        <w:t>anvendelse</w:t>
      </w:r>
      <w:commentRangeEnd w:id="1"/>
      <w:r w:rsidR="00C7559F">
        <w:rPr>
          <w:rStyle w:val="Merknadsreferanse"/>
          <w:rFonts w:asciiTheme="minorHAnsi" w:eastAsiaTheme="minorHAnsi" w:hAnsiTheme="minorHAnsi" w:cstheme="minorBidi"/>
          <w:lang w:eastAsia="en-US"/>
        </w:rPr>
        <w:commentReference w:id="1"/>
      </w:r>
      <w:r w:rsidRPr="00CE7FE3">
        <w:t xml:space="preserve">. </w:t>
      </w:r>
    </w:p>
    <w:p w14:paraId="579D585E" w14:textId="77777777" w:rsidR="00D96995" w:rsidRPr="00CE7FE3" w:rsidRDefault="00D96995" w:rsidP="00D96995">
      <w:pPr>
        <w:pStyle w:val="NormalWeb"/>
        <w:spacing w:line="360" w:lineRule="auto"/>
      </w:pPr>
      <w:r w:rsidRPr="00CE7FE3">
        <w:t xml:space="preserve">”Enkeltvedtak” kan påklages, jf. §§ 3 (1) og 28 (1). Det anføres at det ikke er truffet </w:t>
      </w:r>
      <w:proofErr w:type="gramStart"/>
      <w:r w:rsidRPr="00CE7FE3">
        <w:t>et ”enkeltvedtak</w:t>
      </w:r>
      <w:proofErr w:type="gramEnd"/>
      <w:r w:rsidRPr="00CE7FE3">
        <w:t xml:space="preserve">” i </w:t>
      </w:r>
      <w:commentRangeStart w:id="2"/>
      <w:r w:rsidRPr="00CE7FE3">
        <w:t>saken</w:t>
      </w:r>
      <w:commentRangeEnd w:id="2"/>
      <w:r w:rsidR="00A55179">
        <w:rPr>
          <w:rStyle w:val="Merknadsreferanse"/>
          <w:rFonts w:asciiTheme="minorHAnsi" w:eastAsiaTheme="minorHAnsi" w:hAnsiTheme="minorHAnsi" w:cstheme="minorBidi"/>
          <w:lang w:eastAsia="en-US"/>
        </w:rPr>
        <w:commentReference w:id="2"/>
      </w:r>
      <w:r w:rsidRPr="00CE7FE3">
        <w:t xml:space="preserve">. </w:t>
      </w:r>
    </w:p>
    <w:p w14:paraId="4A53E2E4" w14:textId="77777777" w:rsidR="00D96995" w:rsidRPr="00CE7FE3" w:rsidRDefault="00D96995" w:rsidP="00D96995">
      <w:pPr>
        <w:pStyle w:val="NormalWeb"/>
        <w:spacing w:line="360" w:lineRule="auto"/>
      </w:pPr>
      <w:r w:rsidRPr="00CE7FE3">
        <w:lastRenderedPageBreak/>
        <w:t xml:space="preserve">Begrepet defineres som </w:t>
      </w:r>
      <w:proofErr w:type="gramStart"/>
      <w:r w:rsidRPr="00CE7FE3">
        <w:t>et ”vedtak</w:t>
      </w:r>
      <w:proofErr w:type="gramEnd"/>
      <w:r w:rsidRPr="00CE7FE3">
        <w:t xml:space="preserve">” som retter seg mot ”bestemte personer”, jf. § 2 (1) bokstav </w:t>
      </w:r>
      <w:commentRangeStart w:id="3"/>
      <w:r w:rsidRPr="00CE7FE3">
        <w:t>b</w:t>
      </w:r>
      <w:commentRangeEnd w:id="3"/>
      <w:r w:rsidR="00A55179">
        <w:rPr>
          <w:rStyle w:val="Merknadsreferanse"/>
          <w:rFonts w:asciiTheme="minorHAnsi" w:eastAsiaTheme="minorHAnsi" w:hAnsiTheme="minorHAnsi" w:cstheme="minorBidi"/>
          <w:lang w:eastAsia="en-US"/>
        </w:rPr>
        <w:commentReference w:id="3"/>
      </w:r>
      <w:r w:rsidRPr="00CE7FE3">
        <w:t xml:space="preserve">. Vilkårene til ”vedtak” må først oppfylles etter § 2 (1) bokstav a, hvor vurderingstemaet er om avgjørelsen er ”bestemmende for [Nextvirus ́] rettigheter”. </w:t>
      </w:r>
    </w:p>
    <w:p w14:paraId="0F342F61" w14:textId="77777777" w:rsidR="00D96995" w:rsidRPr="00CE7FE3" w:rsidRDefault="00D96995" w:rsidP="00D96995">
      <w:pPr>
        <w:pStyle w:val="NormalWeb"/>
        <w:spacing w:line="360" w:lineRule="auto"/>
      </w:pPr>
      <w:r w:rsidRPr="00CE7FE3">
        <w:t xml:space="preserve">Først og fremst må det dreie seg om en ”avgjørelse”, hvor ordlyden naturlig tolket vil innebære endelige beslutninger, avgrenset mot generelle uttalelser. Avslag på søknad vil være en ”avgjørelse”. </w:t>
      </w:r>
    </w:p>
    <w:p w14:paraId="600A5AF4" w14:textId="77777777" w:rsidR="00D96995" w:rsidRPr="00CE7FE3" w:rsidRDefault="00D96995" w:rsidP="00D96995">
      <w:pPr>
        <w:pStyle w:val="NormalWeb"/>
        <w:spacing w:line="360" w:lineRule="auto"/>
      </w:pPr>
      <w:r w:rsidRPr="00CE7FE3">
        <w:t xml:space="preserve">Videre må avgjørelsen gjelde ”private personer”, hvor loven angir at ordlyden gjelder både enkeltpersoner og andre private rettssubjekt. Nextvirus AS er et aksjeselskap og oppgaven gir ikke uttrykk for at selskapet er noe annet enn et privat rettssubjekt, dermed er </w:t>
      </w:r>
      <w:proofErr w:type="gramStart"/>
      <w:r w:rsidRPr="00CE7FE3">
        <w:t>det ”privat</w:t>
      </w:r>
      <w:proofErr w:type="gramEnd"/>
      <w:r w:rsidRPr="00CE7FE3">
        <w:t xml:space="preserve"> person”. </w:t>
      </w:r>
    </w:p>
    <w:p w14:paraId="08501DC2" w14:textId="77777777" w:rsidR="00D96995" w:rsidRPr="00CE7FE3" w:rsidRDefault="00D96995" w:rsidP="00D96995">
      <w:pPr>
        <w:pStyle w:val="NormalWeb"/>
        <w:spacing w:line="360" w:lineRule="auto"/>
      </w:pPr>
      <w:r w:rsidRPr="00CE7FE3">
        <w:t xml:space="preserve">Avgjørelsen må treffes ”utøving av offentlig myndighet”, hvor ordlyden omfatter den virksomheten organet gjør som bygger på eksklusiv offentligrettslig kompetanse. Lovens forarbeider angir </w:t>
      </w:r>
      <w:proofErr w:type="gramStart"/>
      <w:r w:rsidRPr="00CE7FE3">
        <w:t>at ”offentlig</w:t>
      </w:r>
      <w:proofErr w:type="gramEnd"/>
      <w:r w:rsidRPr="00CE7FE3">
        <w:t xml:space="preserve"> myndighet” uttrykker statens ”høyhetsrett” overfor borgerne. Å behandle søknader om hvem som </w:t>
      </w:r>
      <w:proofErr w:type="spellStart"/>
      <w:r w:rsidRPr="00CE7FE3">
        <w:t>får</w:t>
      </w:r>
      <w:proofErr w:type="spellEnd"/>
      <w:r w:rsidRPr="00CE7FE3">
        <w:t xml:space="preserve"> markedsføringstillatelse </w:t>
      </w:r>
      <w:proofErr w:type="spellStart"/>
      <w:r w:rsidRPr="00CE7FE3">
        <w:t>pa</w:t>
      </w:r>
      <w:proofErr w:type="spellEnd"/>
      <w:r w:rsidRPr="00CE7FE3">
        <w:t xml:space="preserve">̊ det norske markedet er en kompetanse som er eksklusiv for staten, og vil dermed falle inn </w:t>
      </w:r>
      <w:proofErr w:type="gramStart"/>
      <w:r w:rsidRPr="00CE7FE3">
        <w:t>under ”utøving</w:t>
      </w:r>
      <w:proofErr w:type="gramEnd"/>
      <w:r w:rsidRPr="00CE7FE3">
        <w:t xml:space="preserve"> av offentlig </w:t>
      </w:r>
      <w:commentRangeStart w:id="4"/>
      <w:r w:rsidRPr="00CE7FE3">
        <w:t>myndighet</w:t>
      </w:r>
      <w:commentRangeEnd w:id="4"/>
      <w:r w:rsidR="00A55179">
        <w:rPr>
          <w:rStyle w:val="Merknadsreferanse"/>
          <w:rFonts w:asciiTheme="minorHAnsi" w:eastAsiaTheme="minorHAnsi" w:hAnsiTheme="minorHAnsi" w:cstheme="minorBidi"/>
          <w:lang w:eastAsia="en-US"/>
        </w:rPr>
        <w:commentReference w:id="4"/>
      </w:r>
      <w:r w:rsidRPr="00CE7FE3">
        <w:t xml:space="preserve">”. </w:t>
      </w:r>
    </w:p>
    <w:p w14:paraId="04924A29" w14:textId="77777777" w:rsidR="00D96995" w:rsidRPr="00CE7FE3" w:rsidRDefault="00D96995" w:rsidP="00D96995">
      <w:pPr>
        <w:pStyle w:val="NormalWeb"/>
        <w:spacing w:line="360" w:lineRule="auto"/>
      </w:pPr>
      <w:r w:rsidRPr="00CE7FE3">
        <w:t xml:space="preserve">Det anføres at avgjørelsen ikke kan </w:t>
      </w:r>
      <w:proofErr w:type="gramStart"/>
      <w:r w:rsidRPr="00CE7FE3">
        <w:t>være ”bestemmende</w:t>
      </w:r>
      <w:proofErr w:type="gramEnd"/>
      <w:r w:rsidRPr="00CE7FE3">
        <w:t xml:space="preserve"> for [Nextvirus ́] rettigheter” da søknaden ble </w:t>
      </w:r>
      <w:proofErr w:type="spellStart"/>
      <w:r w:rsidRPr="00CE7FE3">
        <w:t>avslått</w:t>
      </w:r>
      <w:proofErr w:type="spellEnd"/>
      <w:r w:rsidRPr="00CE7FE3">
        <w:t xml:space="preserve"> og ikke endret rettsstillingen deres. Naturlig tolket </w:t>
      </w:r>
      <w:proofErr w:type="gramStart"/>
      <w:r w:rsidRPr="00CE7FE3">
        <w:t>vil ”bestemmende</w:t>
      </w:r>
      <w:proofErr w:type="gramEnd"/>
      <w:r w:rsidRPr="00CE7FE3">
        <w:t xml:space="preserve">” innebære avgjørelser som avgjør en rett eller plikt. Følgende </w:t>
      </w:r>
      <w:proofErr w:type="gramStart"/>
      <w:r w:rsidRPr="00CE7FE3">
        <w:t>vil ”rettigheter</w:t>
      </w:r>
      <w:proofErr w:type="gramEnd"/>
      <w:r w:rsidRPr="00CE7FE3">
        <w:t xml:space="preserve">” naturlig tolket tilsi rettskrav, altså noe noen har krav på og som forvaltningen lovmessig plikter å gi. Markedsføringstillatelse er ikke en rett. Likevel følger det av lovens forarbeid at </w:t>
      </w:r>
      <w:proofErr w:type="spellStart"/>
      <w:r w:rsidRPr="00CE7FE3">
        <w:t>vilkåret</w:t>
      </w:r>
      <w:proofErr w:type="spellEnd"/>
      <w:r w:rsidRPr="00CE7FE3">
        <w:t xml:space="preserve"> skal </w:t>
      </w:r>
      <w:proofErr w:type="spellStart"/>
      <w:r w:rsidRPr="00CE7FE3">
        <w:t>forstås</w:t>
      </w:r>
      <w:proofErr w:type="spellEnd"/>
      <w:r w:rsidRPr="00CE7FE3">
        <w:t xml:space="preserve"> som rettsstilling, slik at det rammer de avgjørelser som potensielt kan endre noens rettslige stilling. Søknad om markedsføringstillatelse kan gi innvilgelse eller avslag, i dette tilfellet avslag, men er likevel en avgjørelse som potensielt kan endre selskapets rettslig stilling og er </w:t>
      </w:r>
      <w:proofErr w:type="gramStart"/>
      <w:r w:rsidRPr="00CE7FE3">
        <w:t>dermed ”utøving</w:t>
      </w:r>
      <w:proofErr w:type="gramEnd"/>
      <w:r w:rsidRPr="00CE7FE3">
        <w:t xml:space="preserve"> av offentlig </w:t>
      </w:r>
      <w:commentRangeStart w:id="5"/>
      <w:r w:rsidRPr="00CE7FE3">
        <w:t>myndighet</w:t>
      </w:r>
      <w:commentRangeEnd w:id="5"/>
      <w:r w:rsidR="00DB6085">
        <w:rPr>
          <w:rStyle w:val="Merknadsreferanse"/>
          <w:rFonts w:asciiTheme="minorHAnsi" w:eastAsiaTheme="minorHAnsi" w:hAnsiTheme="minorHAnsi" w:cstheme="minorBidi"/>
          <w:lang w:eastAsia="en-US"/>
        </w:rPr>
        <w:commentReference w:id="5"/>
      </w:r>
      <w:r w:rsidRPr="00CE7FE3">
        <w:t xml:space="preserve">”. </w:t>
      </w:r>
    </w:p>
    <w:p w14:paraId="7B33C096" w14:textId="77777777" w:rsidR="00D96995" w:rsidRPr="00CE7FE3" w:rsidRDefault="00D96995" w:rsidP="00D96995">
      <w:pPr>
        <w:pStyle w:val="NormalWeb"/>
        <w:spacing w:line="360" w:lineRule="auto"/>
      </w:pPr>
      <w:r w:rsidRPr="00CE7FE3">
        <w:t xml:space="preserve">Det foreligger et vedtak. </w:t>
      </w:r>
    </w:p>
    <w:p w14:paraId="0B703574" w14:textId="77777777" w:rsidR="00D96995" w:rsidRPr="00CE7FE3" w:rsidRDefault="00D96995" w:rsidP="00D96995">
      <w:pPr>
        <w:pStyle w:val="NormalWeb"/>
        <w:spacing w:line="360" w:lineRule="auto"/>
      </w:pPr>
      <w:r w:rsidRPr="00CE7FE3">
        <w:t xml:space="preserve">Vedtaket retter seg mot Nextvirus AS </w:t>
      </w:r>
      <w:proofErr w:type="gramStart"/>
      <w:r w:rsidRPr="00CE7FE3">
        <w:t>som ”bestemt</w:t>
      </w:r>
      <w:proofErr w:type="gramEnd"/>
      <w:r w:rsidRPr="00CE7FE3">
        <w:t xml:space="preserve"> person” og vilkårene for ”enkeltvedtak” er oppfylt, jf. § 2 (1) bokstav b. </w:t>
      </w:r>
    </w:p>
    <w:p w14:paraId="6ABF5976" w14:textId="77777777" w:rsidR="00D96995" w:rsidRPr="00CE7FE3" w:rsidRDefault="00D96995" w:rsidP="00D96995">
      <w:pPr>
        <w:pStyle w:val="NormalWeb"/>
        <w:spacing w:line="360" w:lineRule="auto"/>
      </w:pPr>
      <w:r w:rsidRPr="00CE7FE3">
        <w:t xml:space="preserve">Det foreligger et </w:t>
      </w:r>
      <w:commentRangeStart w:id="6"/>
      <w:r w:rsidRPr="00CE7FE3">
        <w:t>enkeltvedtak</w:t>
      </w:r>
      <w:commentRangeEnd w:id="6"/>
      <w:r w:rsidR="00DB6085">
        <w:rPr>
          <w:rStyle w:val="Merknadsreferanse"/>
          <w:rFonts w:asciiTheme="minorHAnsi" w:eastAsiaTheme="minorHAnsi" w:hAnsiTheme="minorHAnsi" w:cstheme="minorBidi"/>
          <w:lang w:eastAsia="en-US"/>
        </w:rPr>
        <w:commentReference w:id="6"/>
      </w:r>
      <w:r w:rsidRPr="00CE7FE3">
        <w:t xml:space="preserve">. </w:t>
      </w:r>
    </w:p>
    <w:p w14:paraId="49D7F828" w14:textId="77777777" w:rsidR="00D96995" w:rsidRPr="00CE7FE3" w:rsidRDefault="00D96995" w:rsidP="00D96995">
      <w:pPr>
        <w:pStyle w:val="NormalWeb"/>
        <w:spacing w:line="360" w:lineRule="auto"/>
      </w:pPr>
      <w:r w:rsidRPr="00CE7FE3">
        <w:lastRenderedPageBreak/>
        <w:t xml:space="preserve">Den </w:t>
      </w:r>
      <w:proofErr w:type="spellStart"/>
      <w:r w:rsidRPr="00CE7FE3">
        <w:t>avslåtte</w:t>
      </w:r>
      <w:proofErr w:type="spellEnd"/>
      <w:r w:rsidRPr="00CE7FE3">
        <w:t xml:space="preserve"> klagen er dermed gjenstand til å kunne påklages etter § 28. Spørsmålet videre blir om selskapet har klagerett </w:t>
      </w:r>
      <w:proofErr w:type="gramStart"/>
      <w:r w:rsidRPr="00CE7FE3">
        <w:t>som ”part</w:t>
      </w:r>
      <w:proofErr w:type="gramEnd"/>
      <w:r w:rsidRPr="00CE7FE3">
        <w:t xml:space="preserve">” i </w:t>
      </w:r>
      <w:commentRangeStart w:id="7"/>
      <w:r w:rsidRPr="00CE7FE3">
        <w:t>saken</w:t>
      </w:r>
      <w:commentRangeEnd w:id="7"/>
      <w:r w:rsidR="00AB2753">
        <w:rPr>
          <w:rStyle w:val="Merknadsreferanse"/>
          <w:rFonts w:asciiTheme="minorHAnsi" w:eastAsiaTheme="minorHAnsi" w:hAnsiTheme="minorHAnsi" w:cstheme="minorBidi"/>
          <w:lang w:eastAsia="en-US"/>
        </w:rPr>
        <w:commentReference w:id="7"/>
      </w:r>
      <w:r w:rsidRPr="00CE7FE3">
        <w:t xml:space="preserve">. </w:t>
      </w:r>
    </w:p>
    <w:p w14:paraId="7D57ECC5" w14:textId="77777777" w:rsidR="00D96995" w:rsidRPr="00CE7FE3" w:rsidRDefault="00D96995" w:rsidP="00D96995">
      <w:pPr>
        <w:pStyle w:val="NormalWeb"/>
        <w:spacing w:line="360" w:lineRule="auto"/>
      </w:pPr>
      <w:proofErr w:type="gramStart"/>
      <w:r w:rsidRPr="00CE7FE3">
        <w:t>”Part</w:t>
      </w:r>
      <w:proofErr w:type="gramEnd"/>
      <w:r w:rsidRPr="00CE7FE3">
        <w:t xml:space="preserve">” er legaldefinert i § 2 (1) bokstav e som ”person” en avgjørelse ”retter seg mot” eller som saken ”ellers direkte gjelder”. Førstnevnte alternativ blir mest </w:t>
      </w:r>
      <w:commentRangeStart w:id="8"/>
      <w:r w:rsidRPr="00CE7FE3">
        <w:t>relevant</w:t>
      </w:r>
      <w:commentRangeEnd w:id="8"/>
      <w:r w:rsidR="00AB2753">
        <w:rPr>
          <w:rStyle w:val="Merknadsreferanse"/>
          <w:rFonts w:asciiTheme="minorHAnsi" w:eastAsiaTheme="minorHAnsi" w:hAnsiTheme="minorHAnsi" w:cstheme="minorBidi"/>
          <w:lang w:eastAsia="en-US"/>
        </w:rPr>
        <w:commentReference w:id="8"/>
      </w:r>
      <w:r w:rsidRPr="00CE7FE3">
        <w:t xml:space="preserve">. Det følger av naturlig </w:t>
      </w:r>
      <w:proofErr w:type="spellStart"/>
      <w:r w:rsidRPr="00CE7FE3">
        <w:t>språklig</w:t>
      </w:r>
      <w:proofErr w:type="spellEnd"/>
      <w:r w:rsidRPr="00CE7FE3">
        <w:t xml:space="preserve"> </w:t>
      </w:r>
      <w:proofErr w:type="spellStart"/>
      <w:r w:rsidRPr="00CE7FE3">
        <w:t>forståelse</w:t>
      </w:r>
      <w:proofErr w:type="spellEnd"/>
      <w:r w:rsidRPr="00CE7FE3">
        <w:t xml:space="preserve"> av ordlyden </w:t>
      </w:r>
      <w:proofErr w:type="gramStart"/>
      <w:r w:rsidRPr="00CE7FE3">
        <w:t>av ”retter</w:t>
      </w:r>
      <w:proofErr w:type="gramEnd"/>
      <w:r w:rsidRPr="00CE7FE3">
        <w:t xml:space="preserve"> seg mot”, at dette rammer den formelle adressaten av en slik avgjørelse. Nextvirus er adressat av saken, de har både sendt søknaden og er som avslaget gjelder, </w:t>
      </w:r>
      <w:proofErr w:type="gramStart"/>
      <w:r w:rsidRPr="00CE7FE3">
        <w:t>altså ”retter</w:t>
      </w:r>
      <w:proofErr w:type="gramEnd"/>
      <w:r w:rsidRPr="00CE7FE3">
        <w:t xml:space="preserve"> seg </w:t>
      </w:r>
      <w:commentRangeStart w:id="9"/>
      <w:r w:rsidRPr="00CE7FE3">
        <w:t>mot</w:t>
      </w:r>
      <w:commentRangeEnd w:id="9"/>
      <w:r w:rsidR="00502860">
        <w:rPr>
          <w:rStyle w:val="Merknadsreferanse"/>
          <w:rFonts w:asciiTheme="minorHAnsi" w:eastAsiaTheme="minorHAnsi" w:hAnsiTheme="minorHAnsi" w:cstheme="minorBidi"/>
          <w:lang w:eastAsia="en-US"/>
        </w:rPr>
        <w:commentReference w:id="9"/>
      </w:r>
      <w:r w:rsidRPr="00CE7FE3">
        <w:t xml:space="preserve">”. </w:t>
      </w:r>
    </w:p>
    <w:p w14:paraId="31234464" w14:textId="77777777" w:rsidR="00D96995" w:rsidRPr="00CE7FE3" w:rsidRDefault="00D96995" w:rsidP="00D96995">
      <w:pPr>
        <w:pStyle w:val="NormalWeb"/>
        <w:spacing w:line="360" w:lineRule="auto"/>
      </w:pPr>
      <w:r w:rsidRPr="00CE7FE3">
        <w:t xml:space="preserve">Likevel anføres det at fordi avslag av et legemiddel med </w:t>
      </w:r>
      <w:proofErr w:type="spellStart"/>
      <w:r w:rsidRPr="00CE7FE3">
        <w:t>dårlige</w:t>
      </w:r>
      <w:proofErr w:type="spellEnd"/>
      <w:r w:rsidRPr="00CE7FE3">
        <w:t xml:space="preserve"> bivirkninger </w:t>
      </w:r>
      <w:proofErr w:type="gramStart"/>
      <w:r w:rsidRPr="00CE7FE3">
        <w:t>vil ”komme</w:t>
      </w:r>
      <w:proofErr w:type="gramEnd"/>
      <w:r w:rsidRPr="00CE7FE3">
        <w:t xml:space="preserve"> hele befolkningen til gode”, vil ikke selskapet kunne få partsstatus. At en sak er av betydning eller interesse </w:t>
      </w:r>
      <w:proofErr w:type="gramStart"/>
      <w:r w:rsidRPr="00CE7FE3">
        <w:t>for ”hele</w:t>
      </w:r>
      <w:proofErr w:type="gramEnd"/>
      <w:r w:rsidRPr="00CE7FE3">
        <w:t xml:space="preserve">” befolkningen er ikke til hinder for at saken </w:t>
      </w:r>
      <w:proofErr w:type="spellStart"/>
      <w:r w:rsidRPr="00CE7FE3">
        <w:t>består</w:t>
      </w:r>
      <w:proofErr w:type="spellEnd"/>
      <w:r w:rsidRPr="00CE7FE3">
        <w:t xml:space="preserve"> av parter. Et enkeltvedtak slik som i foreliggende sak må jo gjelde bestemte personer. Nextvirus AS er det rettssubjektet som avslaget adresserer, ikke hele Norges </w:t>
      </w:r>
      <w:commentRangeStart w:id="10"/>
      <w:r w:rsidRPr="00CE7FE3">
        <w:t>befolkning</w:t>
      </w:r>
      <w:commentRangeEnd w:id="10"/>
      <w:r w:rsidR="00091342">
        <w:rPr>
          <w:rStyle w:val="Merknadsreferanse"/>
          <w:rFonts w:asciiTheme="minorHAnsi" w:eastAsiaTheme="minorHAnsi" w:hAnsiTheme="minorHAnsi" w:cstheme="minorBidi"/>
          <w:lang w:eastAsia="en-US"/>
        </w:rPr>
        <w:commentReference w:id="10"/>
      </w:r>
      <w:r w:rsidRPr="00CE7FE3">
        <w:t xml:space="preserve">. </w:t>
      </w:r>
    </w:p>
    <w:p w14:paraId="31038FDD" w14:textId="77777777" w:rsidR="00D96995" w:rsidRPr="00CE7FE3" w:rsidRDefault="00D96995" w:rsidP="00D96995">
      <w:pPr>
        <w:pStyle w:val="NormalWeb"/>
        <w:spacing w:line="360" w:lineRule="auto"/>
      </w:pPr>
      <w:r w:rsidRPr="00CE7FE3">
        <w:t xml:space="preserve">Nextvirus AS er part i saken. Konklusjon: </w:t>
      </w:r>
      <w:proofErr w:type="spellStart"/>
      <w:r w:rsidRPr="00CE7FE3">
        <w:t>Nextvirus</w:t>
      </w:r>
      <w:proofErr w:type="spellEnd"/>
      <w:r w:rsidRPr="00CE7FE3">
        <w:t xml:space="preserve"> AS har </w:t>
      </w:r>
      <w:commentRangeStart w:id="11"/>
      <w:r w:rsidRPr="00CE7FE3">
        <w:t>klagerett</w:t>
      </w:r>
      <w:commentRangeEnd w:id="11"/>
      <w:r w:rsidR="00091342">
        <w:rPr>
          <w:rStyle w:val="Merknadsreferanse"/>
          <w:rFonts w:asciiTheme="minorHAnsi" w:eastAsiaTheme="minorHAnsi" w:hAnsiTheme="minorHAnsi" w:cstheme="minorBidi"/>
          <w:lang w:eastAsia="en-US"/>
        </w:rPr>
        <w:commentReference w:id="11"/>
      </w:r>
      <w:r w:rsidRPr="00CE7FE3">
        <w:t xml:space="preserve">. </w:t>
      </w:r>
    </w:p>
    <w:p w14:paraId="70B2DB76" w14:textId="7472836E" w:rsidR="00D96995" w:rsidRPr="00CD1EA7" w:rsidRDefault="00CD1EA7" w:rsidP="00D96995">
      <w:pPr>
        <w:pStyle w:val="NormalWeb"/>
        <w:spacing w:line="360" w:lineRule="auto"/>
        <w:rPr>
          <w:color w:val="767171" w:themeColor="background2" w:themeShade="80"/>
        </w:rPr>
      </w:pPr>
      <w:r w:rsidRPr="00CD1EA7">
        <w:rPr>
          <w:b/>
          <w:bCs/>
          <w:color w:val="767171" w:themeColor="background2" w:themeShade="80"/>
        </w:rPr>
        <w:t>Spørsmål</w:t>
      </w:r>
      <w:r w:rsidR="00D96995" w:rsidRPr="00CD1EA7">
        <w:rPr>
          <w:b/>
          <w:bCs/>
          <w:color w:val="767171" w:themeColor="background2" w:themeShade="80"/>
        </w:rPr>
        <w:t xml:space="preserve"> 2: Var Per Olsen inhabil? </w:t>
      </w:r>
    </w:p>
    <w:p w14:paraId="189A3754" w14:textId="77777777" w:rsidR="00D96995" w:rsidRPr="00CE7FE3" w:rsidRDefault="00D96995" w:rsidP="00D96995">
      <w:pPr>
        <w:pStyle w:val="NormalWeb"/>
        <w:spacing w:line="360" w:lineRule="auto"/>
      </w:pPr>
      <w:r w:rsidRPr="00CE7FE3">
        <w:t xml:space="preserve">Det må avklares om forvaltningsloven </w:t>
      </w:r>
      <w:proofErr w:type="spellStart"/>
      <w:r w:rsidRPr="00CE7FE3">
        <w:t>får</w:t>
      </w:r>
      <w:proofErr w:type="spellEnd"/>
      <w:r w:rsidRPr="00CE7FE3">
        <w:t xml:space="preserve"> anvendelse for Spesialitetsnemda. Per er nemndleder i Spesialitetsnemda, et kollegialt organ hvor medlemmene er oppnevnt av departementet. Tilknytningen til staten er sterk, og slike nemder vil nok falle inn under ordlyden </w:t>
      </w:r>
      <w:proofErr w:type="gramStart"/>
      <w:r w:rsidRPr="00CE7FE3">
        <w:t>av ”organ</w:t>
      </w:r>
      <w:proofErr w:type="gramEnd"/>
      <w:r w:rsidRPr="00CE7FE3">
        <w:t xml:space="preserve"> for stat eller kommune”, jf. § 1. Dette har støtte i lovens forarbeider. Forvaltningsloven kommer til </w:t>
      </w:r>
      <w:commentRangeStart w:id="12"/>
      <w:r w:rsidRPr="00CE7FE3">
        <w:t>anvendelse</w:t>
      </w:r>
      <w:commentRangeEnd w:id="12"/>
      <w:r w:rsidR="00091342">
        <w:rPr>
          <w:rStyle w:val="Merknadsreferanse"/>
          <w:rFonts w:asciiTheme="minorHAnsi" w:eastAsiaTheme="minorHAnsi" w:hAnsiTheme="minorHAnsi" w:cstheme="minorBidi"/>
          <w:lang w:eastAsia="en-US"/>
        </w:rPr>
        <w:commentReference w:id="12"/>
      </w:r>
      <w:r w:rsidRPr="00CE7FE3">
        <w:t xml:space="preserve">. </w:t>
      </w:r>
    </w:p>
    <w:p w14:paraId="6F4955EC" w14:textId="77777777" w:rsidR="00D96995" w:rsidRPr="00CE7FE3" w:rsidRDefault="00D96995" w:rsidP="00D96995">
      <w:pPr>
        <w:pStyle w:val="NormalWeb"/>
        <w:spacing w:line="360" w:lineRule="auto"/>
      </w:pPr>
      <w:r w:rsidRPr="00CE7FE3">
        <w:t xml:space="preserve">Overordnet problemstilling er om Per og Lise sitt forhold </w:t>
      </w:r>
      <w:proofErr w:type="gramStart"/>
      <w:r w:rsidRPr="00CE7FE3">
        <w:t>er ”særegent</w:t>
      </w:r>
      <w:proofErr w:type="gramEnd"/>
      <w:r w:rsidRPr="00CE7FE3">
        <w:t>” etter § 6 (</w:t>
      </w:r>
      <w:commentRangeStart w:id="13"/>
      <w:r w:rsidRPr="00CE7FE3">
        <w:t>2</w:t>
      </w:r>
      <w:commentRangeEnd w:id="13"/>
      <w:r w:rsidR="00091342">
        <w:rPr>
          <w:rStyle w:val="Merknadsreferanse"/>
          <w:rFonts w:asciiTheme="minorHAnsi" w:eastAsiaTheme="minorHAnsi" w:hAnsiTheme="minorHAnsi" w:cstheme="minorBidi"/>
          <w:lang w:eastAsia="en-US"/>
        </w:rPr>
        <w:commentReference w:id="13"/>
      </w:r>
      <w:r w:rsidRPr="00CE7FE3">
        <w:t xml:space="preserve">). </w:t>
      </w:r>
    </w:p>
    <w:p w14:paraId="6B7238B7" w14:textId="77777777" w:rsidR="00D96995" w:rsidRPr="00CE7FE3" w:rsidRDefault="00D96995" w:rsidP="00D96995">
      <w:pPr>
        <w:pStyle w:val="NormalWeb"/>
        <w:spacing w:line="360" w:lineRule="auto"/>
      </w:pPr>
      <w:r w:rsidRPr="00CE7FE3">
        <w:t xml:space="preserve">Habilitetsbestemmelsene </w:t>
      </w:r>
      <w:proofErr w:type="spellStart"/>
      <w:r w:rsidRPr="00CE7FE3">
        <w:t>får</w:t>
      </w:r>
      <w:proofErr w:type="spellEnd"/>
      <w:r w:rsidRPr="00CE7FE3">
        <w:t xml:space="preserve"> anvendelse </w:t>
      </w:r>
      <w:proofErr w:type="gramStart"/>
      <w:r w:rsidRPr="00CE7FE3">
        <w:t>for ”offentlig</w:t>
      </w:r>
      <w:proofErr w:type="gramEnd"/>
      <w:r w:rsidRPr="00CE7FE3">
        <w:t xml:space="preserve"> tjenestemann” som ”tilrettelegger” for eller treffer en ”avgjørelse”, jf. § 6 (1). </w:t>
      </w:r>
      <w:proofErr w:type="gramStart"/>
      <w:r w:rsidRPr="00CE7FE3">
        <w:t>”Offentlig</w:t>
      </w:r>
      <w:proofErr w:type="gramEnd"/>
      <w:r w:rsidRPr="00CE7FE3">
        <w:t xml:space="preserve"> tjenestemann” defineres i § 2 (1) bokstav d som offentlig </w:t>
      </w:r>
      <w:commentRangeStart w:id="14"/>
      <w:r w:rsidRPr="00CE7FE3">
        <w:t>ansatte</w:t>
      </w:r>
      <w:commentRangeEnd w:id="14"/>
      <w:r w:rsidR="00A14A71">
        <w:rPr>
          <w:rStyle w:val="Merknadsreferanse"/>
          <w:rFonts w:asciiTheme="minorHAnsi" w:eastAsiaTheme="minorHAnsi" w:hAnsiTheme="minorHAnsi" w:cstheme="minorBidi"/>
          <w:lang w:eastAsia="en-US"/>
        </w:rPr>
        <w:commentReference w:id="14"/>
      </w:r>
      <w:r w:rsidRPr="00CE7FE3">
        <w:t xml:space="preserve">. Som oppnevnt i nemnden er det ikke sagt at det foreligger et ansettelsesforhold. Likevel gjelder habilitetsbestemmelsene </w:t>
      </w:r>
      <w:proofErr w:type="spellStart"/>
      <w:r w:rsidRPr="00CE7FE3">
        <w:t>ogsa</w:t>
      </w:r>
      <w:proofErr w:type="spellEnd"/>
      <w:r w:rsidRPr="00CE7FE3">
        <w:t xml:space="preserve">̊ for personer </w:t>
      </w:r>
      <w:proofErr w:type="gramStart"/>
      <w:r w:rsidRPr="00CE7FE3">
        <w:t>som ”utfører</w:t>
      </w:r>
      <w:proofErr w:type="gramEnd"/>
      <w:r w:rsidRPr="00CE7FE3">
        <w:t xml:space="preserve"> tjeneste eller arbeid for et forvaltningsorgan”, jf. § </w:t>
      </w:r>
      <w:commentRangeStart w:id="15"/>
      <w:r w:rsidRPr="00CE7FE3">
        <w:t>10</w:t>
      </w:r>
      <w:commentRangeEnd w:id="15"/>
      <w:r w:rsidR="00091342">
        <w:rPr>
          <w:rStyle w:val="Merknadsreferanse"/>
          <w:rFonts w:asciiTheme="minorHAnsi" w:eastAsiaTheme="minorHAnsi" w:hAnsiTheme="minorHAnsi" w:cstheme="minorBidi"/>
          <w:lang w:eastAsia="en-US"/>
        </w:rPr>
        <w:commentReference w:id="15"/>
      </w:r>
      <w:r w:rsidRPr="00CE7FE3">
        <w:t xml:space="preserve">. Ved å være medlem i Spesialitetsnemnda som </w:t>
      </w:r>
      <w:proofErr w:type="spellStart"/>
      <w:r w:rsidRPr="00CE7FE3">
        <w:t>tilråder</w:t>
      </w:r>
      <w:proofErr w:type="spellEnd"/>
      <w:r w:rsidRPr="00CE7FE3">
        <w:t xml:space="preserve"> saker for Statens legemiddelverk vil Per ”utføre tjeneste for et forvaltningsorgan”. </w:t>
      </w:r>
    </w:p>
    <w:p w14:paraId="17F6B999" w14:textId="77777777" w:rsidR="00D96995" w:rsidRPr="00CE7FE3" w:rsidRDefault="00D96995" w:rsidP="00D96995">
      <w:pPr>
        <w:pStyle w:val="NormalWeb"/>
        <w:spacing w:line="360" w:lineRule="auto"/>
      </w:pPr>
      <w:r w:rsidRPr="00CE7FE3">
        <w:lastRenderedPageBreak/>
        <w:t xml:space="preserve">Spesialitetsnemnda avgjør ikke saken selv, men gir </w:t>
      </w:r>
      <w:proofErr w:type="spellStart"/>
      <w:r w:rsidRPr="00CE7FE3">
        <w:t>tilrådning</w:t>
      </w:r>
      <w:proofErr w:type="spellEnd"/>
      <w:r w:rsidRPr="00CE7FE3">
        <w:t xml:space="preserve"> til Statens legemiddelverk. Det kan altså settes </w:t>
      </w:r>
      <w:proofErr w:type="spellStart"/>
      <w:r w:rsidRPr="00CE7FE3">
        <w:t>spørsmål</w:t>
      </w:r>
      <w:proofErr w:type="spellEnd"/>
      <w:r w:rsidRPr="00CE7FE3">
        <w:t xml:space="preserve"> ved om </w:t>
      </w:r>
      <w:proofErr w:type="gramStart"/>
      <w:r w:rsidRPr="00CE7FE3">
        <w:t>Per ”tilrettelegger</w:t>
      </w:r>
      <w:proofErr w:type="gramEnd"/>
      <w:r w:rsidRPr="00CE7FE3">
        <w:t xml:space="preserve">” grunnlaget for avgjørelsen. Ordlyden </w:t>
      </w:r>
      <w:commentRangeStart w:id="16"/>
      <w:r w:rsidRPr="00CE7FE3">
        <w:t>av</w:t>
      </w:r>
      <w:commentRangeEnd w:id="16"/>
      <w:r w:rsidR="00502860">
        <w:rPr>
          <w:rStyle w:val="Merknadsreferanse"/>
          <w:rFonts w:asciiTheme="minorHAnsi" w:eastAsiaTheme="minorHAnsi" w:hAnsiTheme="minorHAnsi" w:cstheme="minorBidi"/>
          <w:lang w:eastAsia="en-US"/>
        </w:rPr>
        <w:commentReference w:id="16"/>
      </w:r>
      <w:r w:rsidRPr="00CE7FE3">
        <w:t xml:space="preserve"> ”tilrettelegge” strekker seg i sin alminnelighet nokså langt, men avgrenses mot å ikke gjelde befatninger med saken av en slik karakter at lovens </w:t>
      </w:r>
      <w:proofErr w:type="spellStart"/>
      <w:r w:rsidRPr="00CE7FE3">
        <w:t>formål</w:t>
      </w:r>
      <w:proofErr w:type="spellEnd"/>
      <w:r w:rsidRPr="00CE7FE3">
        <w:t xml:space="preserve"> ikke </w:t>
      </w:r>
      <w:commentRangeStart w:id="17"/>
      <w:r w:rsidRPr="00CE7FE3">
        <w:t>problematiserer</w:t>
      </w:r>
      <w:commentRangeEnd w:id="17"/>
      <w:r w:rsidR="00A14A71">
        <w:rPr>
          <w:rStyle w:val="Merknadsreferanse"/>
          <w:rFonts w:asciiTheme="minorHAnsi" w:eastAsiaTheme="minorHAnsi" w:hAnsiTheme="minorHAnsi" w:cstheme="minorBidi"/>
          <w:lang w:eastAsia="en-US"/>
        </w:rPr>
        <w:commentReference w:id="17"/>
      </w:r>
      <w:r w:rsidRPr="00CE7FE3">
        <w:t xml:space="preserve">. Per må sies å utøve en viss </w:t>
      </w:r>
      <w:proofErr w:type="spellStart"/>
      <w:r w:rsidRPr="00CE7FE3">
        <w:t>påvirkning</w:t>
      </w:r>
      <w:proofErr w:type="spellEnd"/>
      <w:r w:rsidRPr="00CE7FE3">
        <w:t xml:space="preserve"> over utfallet av saken, og ikke bare gi kontorteknisk bistand eller generelle uttalelser. Det fremkommer at nemndas </w:t>
      </w:r>
      <w:proofErr w:type="spellStart"/>
      <w:r w:rsidRPr="00CE7FE3">
        <w:t>tilrådning</w:t>
      </w:r>
      <w:proofErr w:type="spellEnd"/>
      <w:r w:rsidRPr="00CE7FE3">
        <w:t xml:space="preserve"> utgjorde grunnlaget for avslaget på søknaden. Altså har Per utøvd en </w:t>
      </w:r>
      <w:proofErr w:type="spellStart"/>
      <w:r w:rsidRPr="00CE7FE3">
        <w:t>påvirkning</w:t>
      </w:r>
      <w:proofErr w:type="spellEnd"/>
      <w:r w:rsidRPr="00CE7FE3">
        <w:t xml:space="preserve"> over utfallet i saken, og anses derfor å – sammen med de øvrige medlemmene av nemnda </w:t>
      </w:r>
      <w:proofErr w:type="gramStart"/>
      <w:r w:rsidRPr="00CE7FE3">
        <w:t>– ”tilrettelegge</w:t>
      </w:r>
      <w:proofErr w:type="gramEnd"/>
      <w:r w:rsidRPr="00CE7FE3">
        <w:t xml:space="preserve">” grunnlaget for avgjørelsen. </w:t>
      </w:r>
    </w:p>
    <w:p w14:paraId="6F3AD275" w14:textId="77777777" w:rsidR="00D96995" w:rsidRPr="00CE7FE3" w:rsidRDefault="00D96995" w:rsidP="00D96995">
      <w:pPr>
        <w:pStyle w:val="NormalWeb"/>
        <w:spacing w:line="360" w:lineRule="auto"/>
      </w:pPr>
      <w:r w:rsidRPr="00CE7FE3">
        <w:t>Forholdet mellom Per og Lise faller ikke innenfor de automatiske inhabilitetsgrunnene i § 6 (</w:t>
      </w:r>
      <w:commentRangeStart w:id="18"/>
      <w:r w:rsidRPr="00CE7FE3">
        <w:t>1</w:t>
      </w:r>
      <w:commentRangeEnd w:id="18"/>
      <w:r w:rsidR="00A14A71">
        <w:rPr>
          <w:rStyle w:val="Merknadsreferanse"/>
          <w:rFonts w:asciiTheme="minorHAnsi" w:eastAsiaTheme="minorHAnsi" w:hAnsiTheme="minorHAnsi" w:cstheme="minorBidi"/>
          <w:lang w:eastAsia="en-US"/>
        </w:rPr>
        <w:commentReference w:id="18"/>
      </w:r>
      <w:r w:rsidRPr="00CE7FE3">
        <w:t xml:space="preserve">). </w:t>
      </w:r>
    </w:p>
    <w:p w14:paraId="3EA8D554" w14:textId="77777777" w:rsidR="00D96995" w:rsidRPr="00CE7FE3" w:rsidRDefault="00D96995" w:rsidP="00D96995">
      <w:pPr>
        <w:pStyle w:val="NormalWeb"/>
        <w:spacing w:line="360" w:lineRule="auto"/>
      </w:pPr>
      <w:r w:rsidRPr="00CE7FE3">
        <w:t xml:space="preserve">Av oppgaven følger det særlig to forhold som må drøftes om </w:t>
      </w:r>
      <w:proofErr w:type="gramStart"/>
      <w:r w:rsidRPr="00CE7FE3">
        <w:t>er ”</w:t>
      </w:r>
      <w:commentRangeStart w:id="19"/>
      <w:r w:rsidRPr="00CE7FE3">
        <w:t>særegne</w:t>
      </w:r>
      <w:commentRangeEnd w:id="19"/>
      <w:proofErr w:type="gramEnd"/>
      <w:r w:rsidR="00A14A71">
        <w:rPr>
          <w:rStyle w:val="Merknadsreferanse"/>
          <w:rFonts w:asciiTheme="minorHAnsi" w:eastAsiaTheme="minorHAnsi" w:hAnsiTheme="minorHAnsi" w:cstheme="minorBidi"/>
          <w:lang w:eastAsia="en-US"/>
        </w:rPr>
        <w:commentReference w:id="19"/>
      </w:r>
      <w:r w:rsidRPr="00CE7FE3">
        <w:t xml:space="preserve">”, den tidligere forlovelsen/samboerskapet og at Per sin onkel er gift med Lise sin tante. </w:t>
      </w:r>
    </w:p>
    <w:p w14:paraId="6E0CD70C" w14:textId="77777777" w:rsidR="00D96995" w:rsidRPr="00CE7FE3" w:rsidRDefault="00D96995" w:rsidP="00D96995">
      <w:pPr>
        <w:pStyle w:val="NormalWeb"/>
        <w:spacing w:line="360" w:lineRule="auto"/>
      </w:pPr>
      <w:r w:rsidRPr="00CE7FE3">
        <w:t xml:space="preserve">Naturlig tolket </w:t>
      </w:r>
      <w:proofErr w:type="gramStart"/>
      <w:r w:rsidRPr="00CE7FE3">
        <w:t>vil ”særegne</w:t>
      </w:r>
      <w:proofErr w:type="gramEnd"/>
      <w:r w:rsidRPr="00CE7FE3">
        <w:t xml:space="preserve"> forhold” være forhold som er ualminnelige, spesielle og atypiske. Etter uttalelse fra Sivilombudsmannen behøver det likevel ikke å dreie seg om helt unike </w:t>
      </w:r>
      <w:commentRangeStart w:id="20"/>
      <w:r w:rsidRPr="00CE7FE3">
        <w:t>forhold</w:t>
      </w:r>
      <w:commentRangeEnd w:id="20"/>
      <w:r w:rsidR="00A14A71">
        <w:rPr>
          <w:rStyle w:val="Merknadsreferanse"/>
          <w:rFonts w:asciiTheme="minorHAnsi" w:eastAsiaTheme="minorHAnsi" w:hAnsiTheme="minorHAnsi" w:cstheme="minorBidi"/>
          <w:lang w:eastAsia="en-US"/>
        </w:rPr>
        <w:commentReference w:id="20"/>
      </w:r>
      <w:r w:rsidRPr="00CE7FE3">
        <w:t xml:space="preserve">. </w:t>
      </w:r>
    </w:p>
    <w:p w14:paraId="7DA2D7E6" w14:textId="77777777" w:rsidR="00D96995" w:rsidRPr="00CE7FE3" w:rsidRDefault="00D96995" w:rsidP="00D96995">
      <w:pPr>
        <w:pStyle w:val="NormalWeb"/>
        <w:spacing w:line="360" w:lineRule="auto"/>
      </w:pPr>
      <w:r w:rsidRPr="00CE7FE3">
        <w:t xml:space="preserve">At Per og Lise tidligere har vært forlovet og samboere vil ikke være et alminnelig forhold </w:t>
      </w:r>
      <w:proofErr w:type="spellStart"/>
      <w:r w:rsidRPr="00CE7FE3">
        <w:t>når</w:t>
      </w:r>
      <w:proofErr w:type="spellEnd"/>
      <w:r w:rsidRPr="00CE7FE3">
        <w:t xml:space="preserve"> Per </w:t>
      </w:r>
      <w:proofErr w:type="spellStart"/>
      <w:r w:rsidRPr="00CE7FE3">
        <w:t>na</w:t>
      </w:r>
      <w:proofErr w:type="spellEnd"/>
      <w:r w:rsidRPr="00CE7FE3">
        <w:t xml:space="preserve">̊ skal behandle søknad om markedsføringstillatelse for hennes selskap hvor hun er part. Formelt sett ligger forholdet nært opp til § 6 (1) bokstav </w:t>
      </w:r>
      <w:commentRangeStart w:id="21"/>
      <w:r w:rsidRPr="00CE7FE3">
        <w:t>c</w:t>
      </w:r>
      <w:commentRangeEnd w:id="21"/>
      <w:r w:rsidR="00A14A71">
        <w:rPr>
          <w:rStyle w:val="Merknadsreferanse"/>
          <w:rFonts w:asciiTheme="minorHAnsi" w:eastAsiaTheme="minorHAnsi" w:hAnsiTheme="minorHAnsi" w:cstheme="minorBidi"/>
          <w:lang w:eastAsia="en-US"/>
        </w:rPr>
        <w:commentReference w:id="21"/>
      </w:r>
      <w:r w:rsidRPr="00CE7FE3">
        <w:t xml:space="preserve">. Likevel har lovgiver langt på vei allerede ved å utpeke forhold som gir inhabilitet, satt en standard for hva som </w:t>
      </w:r>
      <w:proofErr w:type="gramStart"/>
      <w:r w:rsidRPr="00CE7FE3">
        <w:t>er ”særegent</w:t>
      </w:r>
      <w:proofErr w:type="gramEnd"/>
      <w:r w:rsidRPr="00CE7FE3">
        <w:t xml:space="preserve">”. </w:t>
      </w:r>
      <w:proofErr w:type="spellStart"/>
      <w:r w:rsidRPr="00CE7FE3">
        <w:t>Når</w:t>
      </w:r>
      <w:proofErr w:type="spellEnd"/>
      <w:r w:rsidRPr="00CE7FE3">
        <w:t xml:space="preserve"> grensen da er satt mot forlovede, og ikke tidligere forlovede, er dette et bevisst valg og det vil kreve noe ekstra for å anse forholdet som særegent. Eksempelvis dersom den tidligere forlovelsen har sterke likhetstrekk med å være et tidligere ekteskap. At Per og Lise både har vært forlovet og samboere kan være momenter som taler for et ekteskapslignende forhold. Men det romantiske forholdet har bare vart i en drøy uke, og har dermed preg av å være useriøst. </w:t>
      </w:r>
      <w:proofErr w:type="spellStart"/>
      <w:r w:rsidRPr="00CE7FE3">
        <w:t>Når</w:t>
      </w:r>
      <w:proofErr w:type="spellEnd"/>
      <w:r w:rsidRPr="00CE7FE3">
        <w:t xml:space="preserve"> forholdets art ikke ligger tett opp mot de i første ledd, vil det kreve mer av andre momenter for at det skal kunne anses </w:t>
      </w:r>
      <w:proofErr w:type="gramStart"/>
      <w:r w:rsidRPr="00CE7FE3">
        <w:t>som ”</w:t>
      </w:r>
      <w:commentRangeStart w:id="22"/>
      <w:r w:rsidRPr="00CE7FE3">
        <w:t>særegent</w:t>
      </w:r>
      <w:commentRangeEnd w:id="22"/>
      <w:proofErr w:type="gramEnd"/>
      <w:r w:rsidR="001A3896">
        <w:rPr>
          <w:rStyle w:val="Merknadsreferanse"/>
          <w:rFonts w:asciiTheme="minorHAnsi" w:eastAsiaTheme="minorHAnsi" w:hAnsiTheme="minorHAnsi" w:cstheme="minorBidi"/>
          <w:lang w:eastAsia="en-US"/>
        </w:rPr>
        <w:commentReference w:id="22"/>
      </w:r>
      <w:r w:rsidRPr="00CE7FE3">
        <w:t xml:space="preserve">”. </w:t>
      </w:r>
    </w:p>
    <w:p w14:paraId="6B418C29" w14:textId="77777777" w:rsidR="00D96995" w:rsidRPr="00CE7FE3" w:rsidRDefault="00D96995" w:rsidP="00D96995">
      <w:pPr>
        <w:pStyle w:val="NormalWeb"/>
        <w:spacing w:line="360" w:lineRule="auto"/>
      </w:pPr>
      <w:r w:rsidRPr="00CE7FE3">
        <w:t xml:space="preserve">Det foreligger ikke et direkte bindeledd mellom Per og Lise som utgjør </w:t>
      </w:r>
      <w:commentRangeStart w:id="23"/>
      <w:r w:rsidRPr="00CE7FE3">
        <w:t>svogerskap</w:t>
      </w:r>
      <w:commentRangeEnd w:id="23"/>
      <w:r w:rsidR="00502860">
        <w:rPr>
          <w:rStyle w:val="Merknadsreferanse"/>
          <w:rFonts w:asciiTheme="minorHAnsi" w:eastAsiaTheme="minorHAnsi" w:hAnsiTheme="minorHAnsi" w:cstheme="minorBidi"/>
          <w:lang w:eastAsia="en-US"/>
        </w:rPr>
        <w:commentReference w:id="23"/>
      </w:r>
      <w:r w:rsidRPr="00CE7FE3">
        <w:t xml:space="preserve">. Likevel vil forholdet ha likhetstrekk med typetilfellene i første ledd, her § 2 (1) bokstav </w:t>
      </w:r>
      <w:commentRangeStart w:id="24"/>
      <w:r w:rsidRPr="00CE7FE3">
        <w:t>b</w:t>
      </w:r>
      <w:commentRangeEnd w:id="24"/>
      <w:r w:rsidR="001A3896">
        <w:rPr>
          <w:rStyle w:val="Merknadsreferanse"/>
          <w:rFonts w:asciiTheme="minorHAnsi" w:eastAsiaTheme="minorHAnsi" w:hAnsiTheme="minorHAnsi" w:cstheme="minorBidi"/>
          <w:lang w:eastAsia="en-US"/>
        </w:rPr>
        <w:commentReference w:id="24"/>
      </w:r>
      <w:r w:rsidRPr="00CE7FE3">
        <w:t xml:space="preserve">.. Et svogerskapslignende forhold vil altså kunne gi inhabilitet etter andre ledd </w:t>
      </w:r>
      <w:proofErr w:type="spellStart"/>
      <w:r w:rsidRPr="00CE7FE3">
        <w:t>når</w:t>
      </w:r>
      <w:proofErr w:type="spellEnd"/>
      <w:r w:rsidRPr="00CE7FE3">
        <w:t xml:space="preserve"> det </w:t>
      </w:r>
      <w:proofErr w:type="spellStart"/>
      <w:r w:rsidRPr="00CE7FE3">
        <w:t>ogsa</w:t>
      </w:r>
      <w:proofErr w:type="spellEnd"/>
      <w:r w:rsidRPr="00CE7FE3">
        <w:t xml:space="preserve">̊ foreligger noe mer. Svogerskapet har likevel ikke karakter av å innebære nære relasjoner. Per </w:t>
      </w:r>
      <w:r w:rsidRPr="00CE7FE3">
        <w:lastRenderedPageBreak/>
        <w:t xml:space="preserve">og Lise fant nylig ut om ekteskapet. Situasjonen hadde stilt seg annerledes dersom forholdet var sterkt preget av å ligne på et svogerskap med tanke på nær relasjon mellom Per og Lise. </w:t>
      </w:r>
      <w:proofErr w:type="spellStart"/>
      <w:r w:rsidRPr="00CE7FE3">
        <w:t>Når</w:t>
      </w:r>
      <w:proofErr w:type="spellEnd"/>
      <w:r w:rsidRPr="00CE7FE3">
        <w:t xml:space="preserve"> dette ikke foreligger vil det vanskelig kunne sies å ha sterke likhetstrekk med typetilfellene i første ledd slik at det ikke skal mye mer </w:t>
      </w:r>
      <w:commentRangeStart w:id="25"/>
      <w:r w:rsidRPr="00CE7FE3">
        <w:t>til</w:t>
      </w:r>
      <w:commentRangeEnd w:id="25"/>
      <w:r w:rsidR="0034327C">
        <w:rPr>
          <w:rStyle w:val="Merknadsreferanse"/>
          <w:rFonts w:asciiTheme="minorHAnsi" w:eastAsiaTheme="minorHAnsi" w:hAnsiTheme="minorHAnsi" w:cstheme="minorBidi"/>
          <w:lang w:eastAsia="en-US"/>
        </w:rPr>
        <w:commentReference w:id="25"/>
      </w:r>
      <w:r w:rsidRPr="00CE7FE3">
        <w:t xml:space="preserve">. Det må foreligge noe mer som gjør </w:t>
      </w:r>
      <w:proofErr w:type="gramStart"/>
      <w:r w:rsidRPr="00CE7FE3">
        <w:t>forholdet ”særegent</w:t>
      </w:r>
      <w:proofErr w:type="gramEnd"/>
      <w:r w:rsidRPr="00CE7FE3">
        <w:t xml:space="preserve">”. </w:t>
      </w:r>
    </w:p>
    <w:p w14:paraId="4CAAF99B" w14:textId="77777777" w:rsidR="00D96995" w:rsidRPr="00CE7FE3" w:rsidRDefault="00D96995" w:rsidP="00D96995">
      <w:pPr>
        <w:pStyle w:val="NormalWeb"/>
        <w:spacing w:line="360" w:lineRule="auto"/>
      </w:pPr>
      <w:r w:rsidRPr="00CE7FE3">
        <w:t xml:space="preserve">Det fremkommer av § 6 (2) </w:t>
      </w:r>
      <w:proofErr w:type="gramStart"/>
      <w:r w:rsidRPr="00CE7FE3">
        <w:t>at ”særegne</w:t>
      </w:r>
      <w:proofErr w:type="gramEnd"/>
      <w:r w:rsidRPr="00CE7FE3">
        <w:t xml:space="preserve"> forhold” er de som er ”egnet” til å svekke ”tillit til upartiskhet”. </w:t>
      </w:r>
      <w:proofErr w:type="gramStart"/>
      <w:r w:rsidRPr="00CE7FE3">
        <w:t>”Egnet</w:t>
      </w:r>
      <w:proofErr w:type="gramEnd"/>
      <w:r w:rsidRPr="00CE7FE3">
        <w:t xml:space="preserve">” tyder først og fremst på at det er det </w:t>
      </w:r>
      <w:proofErr w:type="spellStart"/>
      <w:r w:rsidRPr="00CE7FE3">
        <w:t>utenforstående</w:t>
      </w:r>
      <w:proofErr w:type="spellEnd"/>
      <w:r w:rsidRPr="00CE7FE3">
        <w:t xml:space="preserve"> synspunktet av forholdet som skal vurderes, ikke om upartiskhet faktisk har </w:t>
      </w:r>
      <w:proofErr w:type="spellStart"/>
      <w:r w:rsidRPr="00CE7FE3">
        <w:t>forekomt</w:t>
      </w:r>
      <w:proofErr w:type="spellEnd"/>
      <w:r w:rsidRPr="00CE7FE3">
        <w:t xml:space="preserve">. Naturlig tolket vil det gjelde forhold som objektivt sett kvalifiserer til å svekke tilliten til tjenestemannens </w:t>
      </w:r>
      <w:commentRangeStart w:id="26"/>
      <w:r w:rsidRPr="00CE7FE3">
        <w:t>upartiskhet</w:t>
      </w:r>
      <w:commentRangeEnd w:id="26"/>
      <w:r w:rsidR="001A3896">
        <w:rPr>
          <w:rStyle w:val="Merknadsreferanse"/>
          <w:rFonts w:asciiTheme="minorHAnsi" w:eastAsiaTheme="minorHAnsi" w:hAnsiTheme="minorHAnsi" w:cstheme="minorBidi"/>
          <w:lang w:eastAsia="en-US"/>
        </w:rPr>
        <w:commentReference w:id="26"/>
      </w:r>
      <w:r w:rsidRPr="00CE7FE3">
        <w:t xml:space="preserve">. </w:t>
      </w:r>
    </w:p>
    <w:p w14:paraId="56367AC3" w14:textId="77777777" w:rsidR="00D96995" w:rsidRPr="00CE7FE3" w:rsidRDefault="00D96995" w:rsidP="00D96995">
      <w:pPr>
        <w:pStyle w:val="NormalWeb"/>
        <w:spacing w:line="360" w:lineRule="auto"/>
      </w:pPr>
      <w:r w:rsidRPr="00CE7FE3">
        <w:t xml:space="preserve">En tidligere forlovelse på varighet av en uke vil tvilsomt </w:t>
      </w:r>
      <w:proofErr w:type="gramStart"/>
      <w:r w:rsidRPr="00CE7FE3">
        <w:t>være ”egnet</w:t>
      </w:r>
      <w:proofErr w:type="gramEnd"/>
      <w:r w:rsidRPr="00CE7FE3">
        <w:t xml:space="preserve">” for at </w:t>
      </w:r>
      <w:proofErr w:type="spellStart"/>
      <w:r w:rsidRPr="00CE7FE3">
        <w:t>utenforstående</w:t>
      </w:r>
      <w:proofErr w:type="spellEnd"/>
      <w:r w:rsidRPr="00CE7FE3">
        <w:t xml:space="preserve"> skal finne forholdet problematisk. I tillegg er det 30 </w:t>
      </w:r>
      <w:proofErr w:type="spellStart"/>
      <w:r w:rsidRPr="00CE7FE3">
        <w:t>år</w:t>
      </w:r>
      <w:proofErr w:type="spellEnd"/>
      <w:r w:rsidRPr="00CE7FE3">
        <w:t xml:space="preserve"> siden, som taler for at forholdet ikke kan anses å </w:t>
      </w:r>
      <w:proofErr w:type="gramStart"/>
      <w:r w:rsidRPr="00CE7FE3">
        <w:t>være ”egnet</w:t>
      </w:r>
      <w:proofErr w:type="gramEnd"/>
      <w:r w:rsidRPr="00CE7FE3">
        <w:t xml:space="preserve">” til å svekke tillit til Pers upartiskhet. Forholdet har mer karakter av å være useriøs </w:t>
      </w:r>
      <w:commentRangeStart w:id="27"/>
      <w:r w:rsidRPr="00CE7FE3">
        <w:t>ungdomsforelskelse</w:t>
      </w:r>
      <w:commentRangeEnd w:id="27"/>
      <w:r w:rsidR="001A3896">
        <w:rPr>
          <w:rStyle w:val="Merknadsreferanse"/>
          <w:rFonts w:asciiTheme="minorHAnsi" w:eastAsiaTheme="minorHAnsi" w:hAnsiTheme="minorHAnsi" w:cstheme="minorBidi"/>
          <w:lang w:eastAsia="en-US"/>
        </w:rPr>
        <w:commentReference w:id="27"/>
      </w:r>
      <w:r w:rsidRPr="00CE7FE3">
        <w:t xml:space="preserve">. </w:t>
      </w:r>
    </w:p>
    <w:p w14:paraId="03106150" w14:textId="77777777" w:rsidR="00D96995" w:rsidRPr="00CE7FE3" w:rsidRDefault="00D96995" w:rsidP="00D96995">
      <w:pPr>
        <w:pStyle w:val="NormalWeb"/>
        <w:spacing w:line="360" w:lineRule="auto"/>
      </w:pPr>
      <w:proofErr w:type="gramStart"/>
      <w:r w:rsidRPr="00CE7FE3">
        <w:t>Det ”svogerskapslignende</w:t>
      </w:r>
      <w:proofErr w:type="gramEnd"/>
      <w:r w:rsidRPr="00CE7FE3">
        <w:t xml:space="preserve">” forholdet vil neppe være grunnlag for å sette tvil ved Pers upartiskhet. Relasjonen vil nok bli for fjern for at et </w:t>
      </w:r>
      <w:proofErr w:type="spellStart"/>
      <w:r w:rsidRPr="00CE7FE3">
        <w:t>utenforstående</w:t>
      </w:r>
      <w:proofErr w:type="spellEnd"/>
      <w:r w:rsidRPr="00CE7FE3">
        <w:t xml:space="preserve"> perspektiv vil anse det </w:t>
      </w:r>
      <w:proofErr w:type="gramStart"/>
      <w:r w:rsidRPr="00CE7FE3">
        <w:t>som ”egnet</w:t>
      </w:r>
      <w:proofErr w:type="gramEnd"/>
      <w:r w:rsidRPr="00CE7FE3">
        <w:t xml:space="preserve">” til å svekke ”tillit til upartiskhet”. </w:t>
      </w:r>
    </w:p>
    <w:p w14:paraId="2671DEB4" w14:textId="77777777" w:rsidR="00D96995" w:rsidRPr="00CE7FE3" w:rsidRDefault="00D96995" w:rsidP="00D96995">
      <w:pPr>
        <w:pStyle w:val="NormalWeb"/>
        <w:spacing w:line="360" w:lineRule="auto"/>
      </w:pPr>
      <w:r w:rsidRPr="00CE7FE3">
        <w:t xml:space="preserve">Bestemmelsen angir </w:t>
      </w:r>
      <w:proofErr w:type="spellStart"/>
      <w:r w:rsidRPr="00CE7FE3">
        <w:t>ogsa</w:t>
      </w:r>
      <w:proofErr w:type="spellEnd"/>
      <w:r w:rsidRPr="00CE7FE3">
        <w:t xml:space="preserve">̊ momenter til vurdering som </w:t>
      </w:r>
      <w:proofErr w:type="gramStart"/>
      <w:r w:rsidRPr="00CE7FE3">
        <w:t>det ”blant</w:t>
      </w:r>
      <w:proofErr w:type="gramEnd"/>
      <w:r w:rsidRPr="00CE7FE3">
        <w:t xml:space="preserve"> annet” skal legges vekt på: ”særlig fordel, tap eller </w:t>
      </w:r>
      <w:commentRangeStart w:id="28"/>
      <w:r w:rsidRPr="00CE7FE3">
        <w:t>ulempe</w:t>
      </w:r>
      <w:commentRangeEnd w:id="28"/>
      <w:r w:rsidR="00883EEF">
        <w:rPr>
          <w:rStyle w:val="Merknadsreferanse"/>
          <w:rFonts w:asciiTheme="minorHAnsi" w:eastAsiaTheme="minorHAnsi" w:hAnsiTheme="minorHAnsi" w:cstheme="minorBidi"/>
          <w:lang w:eastAsia="en-US"/>
        </w:rPr>
        <w:commentReference w:id="28"/>
      </w:r>
      <w:r w:rsidRPr="00CE7FE3">
        <w:t xml:space="preserve">”. Ordlyden tilsier egeninteresser i saken, nært opp til partsinteresser i § 6 (1) bokstav a. </w:t>
      </w:r>
    </w:p>
    <w:p w14:paraId="79797269" w14:textId="77777777" w:rsidR="00D96995" w:rsidRPr="00CE7FE3" w:rsidRDefault="00D96995" w:rsidP="00D96995">
      <w:pPr>
        <w:pStyle w:val="NormalWeb"/>
        <w:spacing w:line="360" w:lineRule="auto"/>
      </w:pPr>
      <w:r w:rsidRPr="00CE7FE3">
        <w:t xml:space="preserve">Med bakgrunn i både det tidligere romantiske forholdet og </w:t>
      </w:r>
      <w:proofErr w:type="gramStart"/>
      <w:r w:rsidRPr="00CE7FE3">
        <w:t>det ”svogerskapslignende</w:t>
      </w:r>
      <w:proofErr w:type="gramEnd"/>
      <w:r w:rsidRPr="00CE7FE3">
        <w:t xml:space="preserve">” forhold er det ingenting som tyder på at Per vil få fordeler, tap eller ulemper avhengig av sakens utfall. Likevel gjelder det </w:t>
      </w:r>
      <w:proofErr w:type="spellStart"/>
      <w:r w:rsidRPr="00CE7FE3">
        <w:t>ogsa</w:t>
      </w:r>
      <w:proofErr w:type="spellEnd"/>
      <w:r w:rsidRPr="00CE7FE3">
        <w:t xml:space="preserve">̊ </w:t>
      </w:r>
      <w:proofErr w:type="spellStart"/>
      <w:r w:rsidRPr="00CE7FE3">
        <w:t>når</w:t>
      </w:r>
      <w:proofErr w:type="spellEnd"/>
      <w:r w:rsidRPr="00CE7FE3">
        <w:t xml:space="preserve"> egeninteressene tilhører noen tjenestemannen </w:t>
      </w:r>
      <w:proofErr w:type="gramStart"/>
      <w:r w:rsidRPr="00CE7FE3">
        <w:t>har ”nær</w:t>
      </w:r>
      <w:proofErr w:type="gramEnd"/>
      <w:r w:rsidRPr="00CE7FE3">
        <w:t xml:space="preserve"> personlig tilknytning </w:t>
      </w:r>
      <w:commentRangeStart w:id="29"/>
      <w:r w:rsidRPr="00CE7FE3">
        <w:t xml:space="preserve">til”. </w:t>
      </w:r>
      <w:commentRangeEnd w:id="29"/>
      <w:r w:rsidR="004970A6">
        <w:rPr>
          <w:rStyle w:val="Merknadsreferanse"/>
          <w:rFonts w:asciiTheme="minorHAnsi" w:eastAsiaTheme="minorHAnsi" w:hAnsiTheme="minorHAnsi" w:cstheme="minorBidi"/>
          <w:lang w:eastAsia="en-US"/>
        </w:rPr>
        <w:commentReference w:id="29"/>
      </w:r>
      <w:proofErr w:type="gramStart"/>
      <w:r w:rsidRPr="00CE7FE3">
        <w:t>”Nær</w:t>
      </w:r>
      <w:proofErr w:type="gramEnd"/>
      <w:r w:rsidRPr="00CE7FE3">
        <w:t xml:space="preserve">” setter her en høy terskel, og </w:t>
      </w:r>
      <w:proofErr w:type="spellStart"/>
      <w:r w:rsidRPr="00CE7FE3">
        <w:t>når</w:t>
      </w:r>
      <w:proofErr w:type="spellEnd"/>
      <w:r w:rsidRPr="00CE7FE3">
        <w:t xml:space="preserve"> det romantiske forholdet bare har vart i en uke etterfulgt av ingen kontakt med hverandre </w:t>
      </w:r>
      <w:proofErr w:type="spellStart"/>
      <w:r w:rsidRPr="00CE7FE3">
        <w:t>pa</w:t>
      </w:r>
      <w:proofErr w:type="spellEnd"/>
      <w:r w:rsidRPr="00CE7FE3">
        <w:t xml:space="preserve">̊ 30 </w:t>
      </w:r>
      <w:proofErr w:type="spellStart"/>
      <w:r w:rsidRPr="00CE7FE3">
        <w:t>år</w:t>
      </w:r>
      <w:proofErr w:type="spellEnd"/>
      <w:r w:rsidRPr="00CE7FE3">
        <w:t xml:space="preserve">, vil ikke dette utgjøre et nært personlig </w:t>
      </w:r>
      <w:commentRangeStart w:id="30"/>
      <w:r w:rsidRPr="00CE7FE3">
        <w:t>forhold</w:t>
      </w:r>
      <w:commentRangeEnd w:id="30"/>
      <w:r w:rsidR="004970A6">
        <w:rPr>
          <w:rStyle w:val="Merknadsreferanse"/>
          <w:rFonts w:asciiTheme="minorHAnsi" w:eastAsiaTheme="minorHAnsi" w:hAnsiTheme="minorHAnsi" w:cstheme="minorBidi"/>
          <w:lang w:eastAsia="en-US"/>
        </w:rPr>
        <w:commentReference w:id="30"/>
      </w:r>
      <w:r w:rsidRPr="00CE7FE3">
        <w:t xml:space="preserve">. </w:t>
      </w:r>
    </w:p>
    <w:p w14:paraId="432720E1" w14:textId="77777777" w:rsidR="00D96995" w:rsidRPr="00CE7FE3" w:rsidRDefault="00D96995" w:rsidP="00D96995">
      <w:pPr>
        <w:pStyle w:val="NormalWeb"/>
        <w:spacing w:line="360" w:lineRule="auto"/>
      </w:pPr>
      <w:proofErr w:type="spellStart"/>
      <w:r w:rsidRPr="00CE7FE3">
        <w:t>Når</w:t>
      </w:r>
      <w:proofErr w:type="spellEnd"/>
      <w:r w:rsidRPr="00CE7FE3">
        <w:t xml:space="preserve"> forholdet er mindre nært, vil det kreve mer av fordel/tap/ulempe for å likevel gi </w:t>
      </w:r>
      <w:commentRangeStart w:id="31"/>
      <w:r w:rsidRPr="00CE7FE3">
        <w:t>inhabilitet</w:t>
      </w:r>
      <w:commentRangeEnd w:id="31"/>
      <w:r w:rsidR="004970A6">
        <w:rPr>
          <w:rStyle w:val="Merknadsreferanse"/>
          <w:rFonts w:asciiTheme="minorHAnsi" w:eastAsiaTheme="minorHAnsi" w:hAnsiTheme="minorHAnsi" w:cstheme="minorBidi"/>
          <w:lang w:eastAsia="en-US"/>
        </w:rPr>
        <w:commentReference w:id="31"/>
      </w:r>
      <w:r w:rsidRPr="00CE7FE3">
        <w:t xml:space="preserve">. Egeninteressene til Lise i saken vil utvilsomt være store. At søknaden godkjennes vil være til hennes interesse ved at hun som grunnlegger av selskapet vil kunne selge produktet og tjene penger på virksomheten. Det </w:t>
      </w:r>
      <w:proofErr w:type="gramStart"/>
      <w:r w:rsidRPr="00CE7FE3">
        <w:t>foreligger ”særlig</w:t>
      </w:r>
      <w:proofErr w:type="gramEnd"/>
      <w:r w:rsidRPr="00CE7FE3">
        <w:t xml:space="preserve"> fordel, tap eller </w:t>
      </w:r>
      <w:commentRangeStart w:id="32"/>
      <w:r w:rsidRPr="00CE7FE3">
        <w:t>ulempe</w:t>
      </w:r>
      <w:commentRangeEnd w:id="32"/>
      <w:r w:rsidR="004970A6">
        <w:rPr>
          <w:rStyle w:val="Merknadsreferanse"/>
          <w:rFonts w:asciiTheme="minorHAnsi" w:eastAsiaTheme="minorHAnsi" w:hAnsiTheme="minorHAnsi" w:cstheme="minorBidi"/>
          <w:lang w:eastAsia="en-US"/>
        </w:rPr>
        <w:commentReference w:id="32"/>
      </w:r>
      <w:r w:rsidRPr="00CE7FE3">
        <w:t xml:space="preserve">”. </w:t>
      </w:r>
      <w:r w:rsidRPr="00CE7FE3">
        <w:lastRenderedPageBreak/>
        <w:t xml:space="preserve">Men </w:t>
      </w:r>
      <w:proofErr w:type="spellStart"/>
      <w:r w:rsidRPr="00CE7FE3">
        <w:t>når</w:t>
      </w:r>
      <w:proofErr w:type="spellEnd"/>
      <w:r w:rsidRPr="00CE7FE3">
        <w:t xml:space="preserve"> det personlige forholdet mellom Per og Lise ikke kan sies å være nært, heller fjernt, vil det likevel ikke være et vektig moment for inhabilitet at Lise har egeninteresser i saken. </w:t>
      </w:r>
    </w:p>
    <w:p w14:paraId="4F251F98" w14:textId="77777777" w:rsidR="00D96995" w:rsidRPr="00CE7FE3" w:rsidRDefault="00D96995" w:rsidP="00D96995">
      <w:pPr>
        <w:pStyle w:val="NormalWeb"/>
        <w:spacing w:line="360" w:lineRule="auto"/>
      </w:pPr>
      <w:r w:rsidRPr="00CE7FE3">
        <w:t xml:space="preserve">Det anføres at Per ikke kan finnes inhabil da han på bakgrunn av faglig dyktighet ikke </w:t>
      </w:r>
      <w:proofErr w:type="gramStart"/>
      <w:r w:rsidRPr="00CE7FE3">
        <w:t>vil ”latt</w:t>
      </w:r>
      <w:proofErr w:type="gramEnd"/>
      <w:r w:rsidRPr="00CE7FE3">
        <w:t xml:space="preserve"> seg </w:t>
      </w:r>
      <w:proofErr w:type="spellStart"/>
      <w:r w:rsidRPr="00CE7FE3">
        <w:t>påvirke</w:t>
      </w:r>
      <w:proofErr w:type="spellEnd"/>
      <w:r w:rsidRPr="00CE7FE3">
        <w:t xml:space="preserve">”. Om tjenestemannen faktisk opptrer upartiskhet eller ikke vil ikke kunne tillegges stor betydning. Inhabilitetsreglene er ikke bare ment å sikre riktige, upartiske avgjørelser, men </w:t>
      </w:r>
      <w:proofErr w:type="spellStart"/>
      <w:r w:rsidRPr="00CE7FE3">
        <w:t>ogsa</w:t>
      </w:r>
      <w:proofErr w:type="spellEnd"/>
      <w:r w:rsidRPr="00CE7FE3">
        <w:t xml:space="preserve">̊ verne tjenestemannen mot å havne i en situasjon hvor hans upartiskhet settes </w:t>
      </w:r>
      <w:proofErr w:type="spellStart"/>
      <w:r w:rsidRPr="00CE7FE3">
        <w:t>spørsmål</w:t>
      </w:r>
      <w:proofErr w:type="spellEnd"/>
      <w:r w:rsidRPr="00CE7FE3">
        <w:t xml:space="preserve"> </w:t>
      </w:r>
      <w:commentRangeStart w:id="33"/>
      <w:r w:rsidRPr="00CE7FE3">
        <w:t>ved</w:t>
      </w:r>
      <w:commentRangeEnd w:id="33"/>
      <w:r w:rsidR="004970A6">
        <w:rPr>
          <w:rStyle w:val="Merknadsreferanse"/>
          <w:rFonts w:asciiTheme="minorHAnsi" w:eastAsiaTheme="minorHAnsi" w:hAnsiTheme="minorHAnsi" w:cstheme="minorBidi"/>
          <w:lang w:eastAsia="en-US"/>
        </w:rPr>
        <w:commentReference w:id="33"/>
      </w:r>
      <w:r w:rsidRPr="00CE7FE3">
        <w:t xml:space="preserve">. Likevel kan faglig dyktighet og integritet være et av flere moment mot inhabilitet, men det gir ikke alene grunnlag til å </w:t>
      </w:r>
      <w:proofErr w:type="spellStart"/>
      <w:r w:rsidRPr="00CE7FE3">
        <w:t>fastsla</w:t>
      </w:r>
      <w:proofErr w:type="spellEnd"/>
      <w:r w:rsidRPr="00CE7FE3">
        <w:t xml:space="preserve">̊ at inhabilitet ikke foreligger. </w:t>
      </w:r>
    </w:p>
    <w:p w14:paraId="5E39EB79" w14:textId="77777777" w:rsidR="00D96995" w:rsidRPr="00CE7FE3" w:rsidRDefault="00D96995" w:rsidP="00D96995">
      <w:pPr>
        <w:pStyle w:val="NormalWeb"/>
        <w:spacing w:line="360" w:lineRule="auto"/>
      </w:pPr>
      <w:r w:rsidRPr="00CE7FE3">
        <w:t xml:space="preserve">Det følger av oppgaveteksten at Per tidligere har uttalt seg i VG om negative sider ved stoffet som Lise sitt preparat inneholder. Spørsmålet blir om dette kan anses som en </w:t>
      </w:r>
      <w:proofErr w:type="spellStart"/>
      <w:r w:rsidRPr="00CE7FE3">
        <w:t>forhåndsuttalelse</w:t>
      </w:r>
      <w:proofErr w:type="spellEnd"/>
      <w:r w:rsidRPr="00CE7FE3">
        <w:t xml:space="preserve"> i </w:t>
      </w:r>
      <w:commentRangeStart w:id="34"/>
      <w:r w:rsidRPr="00CE7FE3">
        <w:t>saken</w:t>
      </w:r>
      <w:commentRangeEnd w:id="34"/>
      <w:r w:rsidR="00D27700">
        <w:rPr>
          <w:rStyle w:val="Merknadsreferanse"/>
          <w:rFonts w:asciiTheme="minorHAnsi" w:eastAsiaTheme="minorHAnsi" w:hAnsiTheme="minorHAnsi" w:cstheme="minorBidi"/>
          <w:lang w:eastAsia="en-US"/>
        </w:rPr>
        <w:commentReference w:id="34"/>
      </w:r>
      <w:r w:rsidRPr="00CE7FE3">
        <w:t xml:space="preserve">. I hovedsak vil </w:t>
      </w:r>
      <w:proofErr w:type="spellStart"/>
      <w:r w:rsidRPr="00CE7FE3">
        <w:t>forhåndsuttalelse</w:t>
      </w:r>
      <w:proofErr w:type="spellEnd"/>
      <w:r w:rsidRPr="00CE7FE3">
        <w:t xml:space="preserve"> foreligge </w:t>
      </w:r>
      <w:proofErr w:type="spellStart"/>
      <w:r w:rsidRPr="00CE7FE3">
        <w:t>når</w:t>
      </w:r>
      <w:proofErr w:type="spellEnd"/>
      <w:r w:rsidRPr="00CE7FE3">
        <w:t xml:space="preserve"> tjenestemannen har uttalt seg om den aktuelle saken, eller hvis tilknytningen til saken er sterk. I dette tilfellet har Per uttalt seg mer generelt på bakgrunn av hans doktoravhandling. Nærheten til den foreliggende sak er ikke sterk nok til at dette skal være et moment for </w:t>
      </w:r>
      <w:commentRangeStart w:id="35"/>
      <w:r w:rsidRPr="00CE7FE3">
        <w:t>inhabilitet</w:t>
      </w:r>
      <w:commentRangeEnd w:id="35"/>
      <w:r w:rsidR="00D27700">
        <w:rPr>
          <w:rStyle w:val="Merknadsreferanse"/>
          <w:rFonts w:asciiTheme="minorHAnsi" w:eastAsiaTheme="minorHAnsi" w:hAnsiTheme="minorHAnsi" w:cstheme="minorBidi"/>
          <w:lang w:eastAsia="en-US"/>
        </w:rPr>
        <w:commentReference w:id="35"/>
      </w:r>
      <w:r w:rsidRPr="00CE7FE3">
        <w:t xml:space="preserve">. </w:t>
      </w:r>
    </w:p>
    <w:p w14:paraId="6F0B7851" w14:textId="77777777" w:rsidR="00D96995" w:rsidRPr="00CE7FE3" w:rsidRDefault="00D96995" w:rsidP="00D96995">
      <w:pPr>
        <w:pStyle w:val="NormalWeb"/>
        <w:spacing w:line="360" w:lineRule="auto"/>
      </w:pPr>
      <w:r w:rsidRPr="00CE7FE3">
        <w:t xml:space="preserve">Det foreligger ikke forhold som utpeker seg </w:t>
      </w:r>
      <w:proofErr w:type="gramStart"/>
      <w:r w:rsidRPr="00CE7FE3">
        <w:t>som ”særegne</w:t>
      </w:r>
      <w:proofErr w:type="gramEnd"/>
      <w:r w:rsidRPr="00CE7FE3">
        <w:t xml:space="preserve">”, verken alene eller sett i en helhet. Forholdet har, sett under ett, karakter av å være fjernt og i liten grad egnet til å svekke tillit til Pers upartiskhet i saken. </w:t>
      </w:r>
      <w:proofErr w:type="spellStart"/>
      <w:r w:rsidRPr="00CE7FE3">
        <w:t>Konsekvensbetrakninger</w:t>
      </w:r>
      <w:proofErr w:type="spellEnd"/>
      <w:r w:rsidRPr="00CE7FE3">
        <w:t xml:space="preserve"> taler i samme retning. Det foreligger ikke sterke rettssikkerhetshensyn som taler for å anse Per som inhabil, spesielt med tanke </w:t>
      </w:r>
      <w:proofErr w:type="spellStart"/>
      <w:r w:rsidRPr="00CE7FE3">
        <w:t>pa</w:t>
      </w:r>
      <w:proofErr w:type="spellEnd"/>
      <w:r w:rsidRPr="00CE7FE3">
        <w:t xml:space="preserve">̊ at saken </w:t>
      </w:r>
      <w:proofErr w:type="spellStart"/>
      <w:r w:rsidRPr="00CE7FE3">
        <w:t>tilrådes</w:t>
      </w:r>
      <w:proofErr w:type="spellEnd"/>
      <w:r w:rsidRPr="00CE7FE3">
        <w:t xml:space="preserve"> i et kollegialt organ hvor Per ikke alene avgjør utfallet i saken. Hensynet til en effektiv forvaltning taler i retning av </w:t>
      </w:r>
      <w:proofErr w:type="gramStart"/>
      <w:r w:rsidRPr="00CE7FE3">
        <w:t>at ”særegne</w:t>
      </w:r>
      <w:proofErr w:type="gramEnd"/>
      <w:r w:rsidRPr="00CE7FE3">
        <w:t xml:space="preserve"> forhold” må sette en høy standard, slik at ikke mindre spesielle forhold gir </w:t>
      </w:r>
      <w:commentRangeStart w:id="36"/>
      <w:r w:rsidRPr="00CE7FE3">
        <w:t>inhabilitet</w:t>
      </w:r>
      <w:commentRangeEnd w:id="36"/>
      <w:r w:rsidR="001447BB">
        <w:rPr>
          <w:rStyle w:val="Merknadsreferanse"/>
          <w:rFonts w:asciiTheme="minorHAnsi" w:eastAsiaTheme="minorHAnsi" w:hAnsiTheme="minorHAnsi" w:cstheme="minorBidi"/>
          <w:lang w:eastAsia="en-US"/>
        </w:rPr>
        <w:commentReference w:id="36"/>
      </w:r>
      <w:r w:rsidRPr="00CE7FE3">
        <w:t xml:space="preserve">. </w:t>
      </w:r>
    </w:p>
    <w:p w14:paraId="2613A2D4" w14:textId="77777777" w:rsidR="00D96995" w:rsidRPr="00CE7FE3" w:rsidRDefault="00D96995" w:rsidP="00D96995">
      <w:pPr>
        <w:pStyle w:val="NormalWeb"/>
        <w:spacing w:line="360" w:lineRule="auto"/>
      </w:pPr>
      <w:r w:rsidRPr="00CE7FE3">
        <w:t xml:space="preserve">Konklusjon: Per er ikke </w:t>
      </w:r>
      <w:commentRangeStart w:id="37"/>
      <w:r w:rsidRPr="00CE7FE3">
        <w:t>inhabil</w:t>
      </w:r>
      <w:commentRangeEnd w:id="37"/>
      <w:r w:rsidR="00D27700">
        <w:rPr>
          <w:rStyle w:val="Merknadsreferanse"/>
          <w:rFonts w:asciiTheme="minorHAnsi" w:eastAsiaTheme="minorHAnsi" w:hAnsiTheme="minorHAnsi" w:cstheme="minorBidi"/>
          <w:lang w:eastAsia="en-US"/>
        </w:rPr>
        <w:commentReference w:id="37"/>
      </w:r>
      <w:r w:rsidRPr="00CE7FE3">
        <w:t xml:space="preserve">. </w:t>
      </w:r>
    </w:p>
    <w:p w14:paraId="5A5A6BF7" w14:textId="77777777" w:rsidR="00D96995" w:rsidRPr="00CD1EA7" w:rsidRDefault="00D96995" w:rsidP="00D96995">
      <w:pPr>
        <w:pStyle w:val="NormalWeb"/>
        <w:spacing w:line="360" w:lineRule="auto"/>
        <w:rPr>
          <w:color w:val="767171" w:themeColor="background2" w:themeShade="80"/>
        </w:rPr>
      </w:pPr>
      <w:proofErr w:type="spellStart"/>
      <w:r w:rsidRPr="00CD1EA7">
        <w:rPr>
          <w:b/>
          <w:bCs/>
          <w:color w:val="767171" w:themeColor="background2" w:themeShade="80"/>
        </w:rPr>
        <w:t>Spørsmål</w:t>
      </w:r>
      <w:proofErr w:type="spellEnd"/>
      <w:r w:rsidRPr="00CD1EA7">
        <w:rPr>
          <w:b/>
          <w:bCs/>
          <w:color w:val="767171" w:themeColor="background2" w:themeShade="80"/>
        </w:rPr>
        <w:t xml:space="preserve"> 3: Forutsatt at Per Olsen var inhabil, var de andre medlemmene av nemnda inhabile? </w:t>
      </w:r>
    </w:p>
    <w:p w14:paraId="59ECD179" w14:textId="77777777" w:rsidR="00D96995" w:rsidRPr="00CE7FE3" w:rsidRDefault="00D96995" w:rsidP="00D96995">
      <w:pPr>
        <w:pStyle w:val="NormalWeb"/>
        <w:spacing w:line="360" w:lineRule="auto"/>
      </w:pPr>
      <w:r w:rsidRPr="00CE7FE3">
        <w:t xml:space="preserve">Forvaltningsloven kommer til anvendelse, jf. </w:t>
      </w:r>
      <w:proofErr w:type="spellStart"/>
      <w:r w:rsidRPr="00CE7FE3">
        <w:t>spm</w:t>
      </w:r>
      <w:proofErr w:type="spellEnd"/>
      <w:r w:rsidRPr="00CE7FE3">
        <w:t xml:space="preserve"> 1. </w:t>
      </w:r>
    </w:p>
    <w:p w14:paraId="6D2CFAA0" w14:textId="77777777" w:rsidR="00D96995" w:rsidRPr="00CE7FE3" w:rsidRDefault="00D96995" w:rsidP="00D96995">
      <w:pPr>
        <w:pStyle w:val="NormalWeb"/>
        <w:spacing w:line="360" w:lineRule="auto"/>
      </w:pPr>
      <w:r w:rsidRPr="00CE7FE3">
        <w:t xml:space="preserve">Som hovedregel vil overordnet tjenestemann sin inhabilitet føre til </w:t>
      </w:r>
      <w:proofErr w:type="gramStart"/>
      <w:r w:rsidRPr="00CE7FE3">
        <w:t>at ”direkte</w:t>
      </w:r>
      <w:proofErr w:type="gramEnd"/>
      <w:r w:rsidRPr="00CE7FE3">
        <w:t xml:space="preserve"> underordnet” i samme organ </w:t>
      </w:r>
      <w:proofErr w:type="spellStart"/>
      <w:r w:rsidRPr="00CE7FE3">
        <w:t>ogsa</w:t>
      </w:r>
      <w:proofErr w:type="spellEnd"/>
      <w:r w:rsidRPr="00CE7FE3">
        <w:t>̊ blir inhabil, jf. § 6 (</w:t>
      </w:r>
      <w:commentRangeStart w:id="38"/>
      <w:r w:rsidRPr="00CE7FE3">
        <w:t>3</w:t>
      </w:r>
      <w:commentRangeEnd w:id="38"/>
      <w:r w:rsidR="00D27700">
        <w:rPr>
          <w:rStyle w:val="Merknadsreferanse"/>
          <w:rFonts w:asciiTheme="minorHAnsi" w:eastAsiaTheme="minorHAnsi" w:hAnsiTheme="minorHAnsi" w:cstheme="minorBidi"/>
          <w:lang w:eastAsia="en-US"/>
        </w:rPr>
        <w:commentReference w:id="38"/>
      </w:r>
      <w:r w:rsidRPr="00CE7FE3">
        <w:t xml:space="preserve">). Med Pers lederstilling kunne han blitt ansett </w:t>
      </w:r>
      <w:proofErr w:type="gramStart"/>
      <w:r w:rsidRPr="00CE7FE3">
        <w:t>som ”overordnet</w:t>
      </w:r>
      <w:proofErr w:type="gramEnd"/>
      <w:r w:rsidRPr="00CE7FE3">
        <w:t xml:space="preserve">” de øvrige medlemmene i organet. Da Spesialitetsnemda utgjør ett og samme </w:t>
      </w:r>
      <w:r w:rsidRPr="00CE7FE3">
        <w:lastRenderedPageBreak/>
        <w:t xml:space="preserve">organ og Per som leder naturlig vil </w:t>
      </w:r>
      <w:proofErr w:type="gramStart"/>
      <w:r w:rsidRPr="00CE7FE3">
        <w:t>være ”overordnet</w:t>
      </w:r>
      <w:proofErr w:type="gramEnd"/>
      <w:r w:rsidRPr="00CE7FE3">
        <w:t xml:space="preserve">” alle, kunne altså øvrige medlemmer i organet blitt ansett inhabil. </w:t>
      </w:r>
    </w:p>
    <w:p w14:paraId="7197CD00" w14:textId="77777777" w:rsidR="00D96995" w:rsidRPr="00CE7FE3" w:rsidRDefault="00D96995" w:rsidP="00D96995">
      <w:pPr>
        <w:pStyle w:val="NormalWeb"/>
        <w:spacing w:line="360" w:lineRule="auto"/>
      </w:pPr>
      <w:r w:rsidRPr="00CE7FE3">
        <w:t xml:space="preserve">Likevel foreligger det ikke under- og overordnet forhold i kollegiale organer. Nemnder utgjør kollegiale organer, og det er klart at § 6 (3) dermed ikke gjelder for Spesialitetsnemnda. Medlemmene, herunder lederen, regnes som likemenn, hvor ingen er over eller under den </w:t>
      </w:r>
      <w:commentRangeStart w:id="39"/>
      <w:r w:rsidRPr="00CE7FE3">
        <w:t>andre</w:t>
      </w:r>
      <w:commentRangeEnd w:id="39"/>
      <w:r w:rsidR="004300A8">
        <w:rPr>
          <w:rStyle w:val="Merknadsreferanse"/>
          <w:rFonts w:asciiTheme="minorHAnsi" w:eastAsiaTheme="minorHAnsi" w:hAnsiTheme="minorHAnsi" w:cstheme="minorBidi"/>
          <w:lang w:eastAsia="en-US"/>
        </w:rPr>
        <w:commentReference w:id="39"/>
      </w:r>
      <w:r w:rsidRPr="00CE7FE3">
        <w:t xml:space="preserve">. </w:t>
      </w:r>
    </w:p>
    <w:p w14:paraId="67A06305" w14:textId="77777777" w:rsidR="00D96995" w:rsidRPr="00CE7FE3" w:rsidRDefault="00D96995" w:rsidP="00D96995">
      <w:pPr>
        <w:pStyle w:val="NormalWeb"/>
        <w:spacing w:line="360" w:lineRule="auto"/>
      </w:pPr>
      <w:r w:rsidRPr="00CE7FE3">
        <w:t xml:space="preserve">Konklusjon: Per sin inhabilitet ville ikke gjort de andre medlemmene av nemnda </w:t>
      </w:r>
      <w:commentRangeStart w:id="40"/>
      <w:r w:rsidRPr="00CE7FE3">
        <w:t>inhabile</w:t>
      </w:r>
      <w:commentRangeEnd w:id="40"/>
      <w:r w:rsidR="004300A8">
        <w:rPr>
          <w:rStyle w:val="Merknadsreferanse"/>
          <w:rFonts w:asciiTheme="minorHAnsi" w:eastAsiaTheme="minorHAnsi" w:hAnsiTheme="minorHAnsi" w:cstheme="minorBidi"/>
          <w:lang w:eastAsia="en-US"/>
        </w:rPr>
        <w:commentReference w:id="40"/>
      </w:r>
      <w:r w:rsidRPr="00CE7FE3">
        <w:t xml:space="preserve">. </w:t>
      </w:r>
    </w:p>
    <w:p w14:paraId="0F03B7EC" w14:textId="77777777" w:rsidR="00D96995" w:rsidRPr="00CE7FE3" w:rsidRDefault="00D96995" w:rsidP="00D96995">
      <w:pPr>
        <w:spacing w:line="360" w:lineRule="auto"/>
        <w:rPr>
          <w:rFonts w:ascii="Times New Roman" w:eastAsia="Times New Roman" w:hAnsi="Times New Roman" w:cs="Times New Roman"/>
          <w:color w:val="767171" w:themeColor="background2" w:themeShade="80"/>
          <w:lang w:eastAsia="nb-NO"/>
        </w:rPr>
      </w:pPr>
      <w:r w:rsidRPr="00CE7FE3">
        <w:rPr>
          <w:rFonts w:ascii="Times New Roman" w:eastAsia="Times New Roman" w:hAnsi="Times New Roman" w:cs="Times New Roman"/>
          <w:color w:val="767171" w:themeColor="background2" w:themeShade="80"/>
          <w:lang w:eastAsia="nb-NO"/>
        </w:rPr>
        <w:t xml:space="preserve">Kort tid senere endret Statens legemiddelverk oppfatning og Nextvirus AS sitt omsøkte preparat fikk markedsføringstillatelse som desinfeksjonsmiddel mot Covid-19. </w:t>
      </w:r>
    </w:p>
    <w:p w14:paraId="1CB38AF0" w14:textId="77777777" w:rsidR="00D96995" w:rsidRPr="00CE7FE3" w:rsidRDefault="00D96995" w:rsidP="00D96995">
      <w:pPr>
        <w:spacing w:line="360" w:lineRule="auto"/>
        <w:rPr>
          <w:rFonts w:ascii="Times New Roman" w:eastAsia="Times New Roman" w:hAnsi="Times New Roman" w:cs="Times New Roman"/>
          <w:color w:val="767171" w:themeColor="background2" w:themeShade="80"/>
          <w:lang w:eastAsia="nb-NO"/>
        </w:rPr>
      </w:pPr>
    </w:p>
    <w:p w14:paraId="2EE5E77D" w14:textId="77777777" w:rsidR="00D96995" w:rsidRPr="00CE7FE3" w:rsidRDefault="00D96995" w:rsidP="00D96995">
      <w:pPr>
        <w:spacing w:line="360" w:lineRule="auto"/>
        <w:rPr>
          <w:rFonts w:ascii="Times New Roman" w:eastAsia="Times New Roman" w:hAnsi="Times New Roman" w:cs="Times New Roman"/>
          <w:color w:val="767171" w:themeColor="background2" w:themeShade="80"/>
          <w:lang w:eastAsia="nb-NO"/>
        </w:rPr>
      </w:pPr>
      <w:r w:rsidRPr="00CE7FE3">
        <w:rPr>
          <w:rFonts w:ascii="Times New Roman" w:eastAsia="Times New Roman" w:hAnsi="Times New Roman" w:cs="Times New Roman"/>
          <w:color w:val="767171" w:themeColor="background2" w:themeShade="80"/>
          <w:lang w:eastAsia="nb-NO"/>
        </w:rPr>
        <w:t xml:space="preserve">Folkehelseinstituttet (FHI) er et organ underlagt Helse- og omsorgsdepartementet. FHI er en nasjonal kompetanseinstitusjon innen folkehelse i bred forstand og gir råd til myndigheter, helsetjeneste, politikere, media og publikum. Folkehelseinstituttet gikk offentlig ut på sine nettsider og i media og advarte sterkt mot å anvende andre legemidler mot Covid-19 i fremtiden, enn de som minst hadde vist 50 prosent effektivitet. Det ble vist til en reell fare for at utstrakt bruk av mindre effektive legemidler enn 50 prosent ville kunne forverre pandemien, ved at personer kunne redusere andre smitteverntiltak på feilaktig grunnlag. Nextvirus AS gikk raskt konkurs som en direkte følge av advarselen. </w:t>
      </w:r>
    </w:p>
    <w:p w14:paraId="44EE7922" w14:textId="77777777" w:rsidR="00D96995" w:rsidRPr="00CE7FE3" w:rsidRDefault="00D96995" w:rsidP="00D96995">
      <w:pPr>
        <w:spacing w:line="360" w:lineRule="auto"/>
        <w:rPr>
          <w:rFonts w:ascii="Times New Roman" w:eastAsia="Times New Roman" w:hAnsi="Times New Roman" w:cs="Times New Roman"/>
          <w:color w:val="767171" w:themeColor="background2" w:themeShade="80"/>
          <w:lang w:eastAsia="nb-NO"/>
        </w:rPr>
      </w:pPr>
    </w:p>
    <w:p w14:paraId="0BA9D536" w14:textId="77777777" w:rsidR="00D96995" w:rsidRPr="00CE7FE3" w:rsidRDefault="00D96995" w:rsidP="00D96995">
      <w:pPr>
        <w:spacing w:line="360" w:lineRule="auto"/>
        <w:rPr>
          <w:rFonts w:ascii="Times New Roman" w:eastAsia="Times New Roman" w:hAnsi="Times New Roman" w:cs="Times New Roman"/>
          <w:b/>
          <w:bCs/>
          <w:lang w:eastAsia="nb-NO"/>
        </w:rPr>
      </w:pPr>
      <w:r w:rsidRPr="00CE7FE3">
        <w:rPr>
          <w:rFonts w:ascii="Times New Roman" w:eastAsia="Times New Roman" w:hAnsi="Times New Roman" w:cs="Times New Roman"/>
          <w:b/>
          <w:bCs/>
          <w:color w:val="767171" w:themeColor="background2" w:themeShade="80"/>
          <w:lang w:eastAsia="nb-NO"/>
        </w:rPr>
        <w:t>Spørsmål 4: Var Folkehelseinstituttet sin advarsel et vedtak?</w:t>
      </w:r>
      <w:r w:rsidRPr="00CE7FE3">
        <w:rPr>
          <w:rFonts w:ascii="Times New Roman" w:eastAsia="Times New Roman" w:hAnsi="Times New Roman" w:cs="Times New Roman"/>
          <w:b/>
          <w:bCs/>
          <w:lang w:eastAsia="nb-NO"/>
        </w:rPr>
        <w:t xml:space="preserve"> </w:t>
      </w:r>
    </w:p>
    <w:p w14:paraId="0D653384" w14:textId="77777777" w:rsidR="00D96995" w:rsidRPr="00CE7FE3" w:rsidRDefault="00D96995" w:rsidP="00D96995">
      <w:pPr>
        <w:pStyle w:val="NormalWeb"/>
        <w:spacing w:line="360" w:lineRule="auto"/>
      </w:pPr>
      <w:r w:rsidRPr="00CE7FE3">
        <w:t xml:space="preserve">Det må først avklares om Folkehelseinstituttet (FHI) utgjør et forvaltningsorgan, </w:t>
      </w:r>
      <w:proofErr w:type="gramStart"/>
      <w:r w:rsidRPr="00CE7FE3">
        <w:t>altså ”ethvert</w:t>
      </w:r>
      <w:proofErr w:type="gramEnd"/>
      <w:r w:rsidRPr="00CE7FE3">
        <w:t xml:space="preserve"> organ for stat eller kommune”. Ordlyden er tilsynelatende nokså vid, </w:t>
      </w:r>
      <w:proofErr w:type="gramStart"/>
      <w:r w:rsidRPr="00CE7FE3">
        <w:t>men ”for</w:t>
      </w:r>
      <w:proofErr w:type="gramEnd"/>
      <w:r w:rsidRPr="00CE7FE3">
        <w:t xml:space="preserve">” setter krav til å det foreligger en tilknytning mellom organet og det offentlige, og lang praksis tyder på at denne må være sterk. Underlagt Helse- og omsorgsdepartementet har FHI en klar tilknytning til det offentlige i form av eierskap og kontroll. Deres oppgaver som nasjonal kompetanseinstitusjon innen folkehelse gir </w:t>
      </w:r>
      <w:proofErr w:type="spellStart"/>
      <w:r w:rsidRPr="00CE7FE3">
        <w:t>ogsa</w:t>
      </w:r>
      <w:proofErr w:type="spellEnd"/>
      <w:r w:rsidRPr="00CE7FE3">
        <w:t xml:space="preserve">̊ et sterkt offentlig preg. FHI er dermed </w:t>
      </w:r>
      <w:proofErr w:type="gramStart"/>
      <w:r w:rsidRPr="00CE7FE3">
        <w:t>et ”organ</w:t>
      </w:r>
      <w:proofErr w:type="gramEnd"/>
      <w:r w:rsidRPr="00CE7FE3">
        <w:t xml:space="preserve"> for </w:t>
      </w:r>
      <w:commentRangeStart w:id="41"/>
      <w:r w:rsidRPr="00CE7FE3">
        <w:t>stat</w:t>
      </w:r>
      <w:commentRangeEnd w:id="41"/>
      <w:r w:rsidR="00E81C8A">
        <w:rPr>
          <w:rStyle w:val="Merknadsreferanse"/>
          <w:rFonts w:asciiTheme="minorHAnsi" w:eastAsiaTheme="minorHAnsi" w:hAnsiTheme="minorHAnsi" w:cstheme="minorBidi"/>
          <w:lang w:eastAsia="en-US"/>
        </w:rPr>
        <w:commentReference w:id="41"/>
      </w:r>
      <w:r w:rsidRPr="00CE7FE3">
        <w:t xml:space="preserve">”. </w:t>
      </w:r>
    </w:p>
    <w:p w14:paraId="7E75F995" w14:textId="77777777" w:rsidR="00D96995" w:rsidRPr="00CE7FE3" w:rsidRDefault="00D96995" w:rsidP="00D96995">
      <w:pPr>
        <w:pStyle w:val="NormalWeb"/>
        <w:spacing w:line="360" w:lineRule="auto"/>
      </w:pPr>
      <w:r w:rsidRPr="00CE7FE3">
        <w:t xml:space="preserve">Forvaltningsloven kommer til anvendelse. </w:t>
      </w:r>
    </w:p>
    <w:p w14:paraId="0EF4D6E6" w14:textId="77777777" w:rsidR="00D96995" w:rsidRPr="00CE7FE3" w:rsidRDefault="00D96995" w:rsidP="00D96995">
      <w:pPr>
        <w:pStyle w:val="NormalWeb"/>
        <w:spacing w:line="360" w:lineRule="auto"/>
      </w:pPr>
      <w:r w:rsidRPr="00CE7FE3">
        <w:t xml:space="preserve">Oppgaven problematiserer om advarselen oppfyller kravene </w:t>
      </w:r>
      <w:proofErr w:type="gramStart"/>
      <w:r w:rsidRPr="00CE7FE3">
        <w:t>til ”vedtak</w:t>
      </w:r>
      <w:proofErr w:type="gramEnd"/>
      <w:r w:rsidRPr="00CE7FE3">
        <w:t xml:space="preserve">”, og eventuelt om det dreier seg om et enkeltvedtak eller en forskrift. </w:t>
      </w:r>
    </w:p>
    <w:p w14:paraId="61E4DC24" w14:textId="77777777" w:rsidR="00D96995" w:rsidRPr="00CE7FE3" w:rsidRDefault="00D96995" w:rsidP="00D96995">
      <w:pPr>
        <w:pStyle w:val="NormalWeb"/>
        <w:spacing w:line="360" w:lineRule="auto"/>
      </w:pPr>
      <w:r w:rsidRPr="00CE7FE3">
        <w:lastRenderedPageBreak/>
        <w:t xml:space="preserve">Et av vilkårene for at noe skal være et vedtak er at det er </w:t>
      </w:r>
      <w:proofErr w:type="gramStart"/>
      <w:r w:rsidRPr="00CE7FE3">
        <w:t>en ”avgjørelse</w:t>
      </w:r>
      <w:proofErr w:type="gramEnd"/>
      <w:r w:rsidRPr="00CE7FE3">
        <w:t xml:space="preserve">”. Naturlig tolket vil ordlyden tilsi endelige beslutninger. FHI kan her sies å ha besluttet å gå ut offentlig på nettsider og i media med budskapet. </w:t>
      </w:r>
      <w:proofErr w:type="gramStart"/>
      <w:r w:rsidRPr="00CE7FE3">
        <w:t>”Avgjørelse</w:t>
      </w:r>
      <w:proofErr w:type="gramEnd"/>
      <w:r w:rsidRPr="00CE7FE3">
        <w:t xml:space="preserve">” </w:t>
      </w:r>
      <w:proofErr w:type="spellStart"/>
      <w:r w:rsidRPr="00CE7FE3">
        <w:t>ma</w:t>
      </w:r>
      <w:proofErr w:type="spellEnd"/>
      <w:r w:rsidRPr="00CE7FE3">
        <w:t xml:space="preserve">̊ </w:t>
      </w:r>
      <w:proofErr w:type="spellStart"/>
      <w:r w:rsidRPr="00CE7FE3">
        <w:t>ogsa</w:t>
      </w:r>
      <w:proofErr w:type="spellEnd"/>
      <w:r w:rsidRPr="00CE7FE3">
        <w:t xml:space="preserve">̊ tolkes som at det er blitt tatt stilling til en sak og kommet til et utfall, hvor det avgrenses mot generelle uttalelser. Advarselen vil gjerne ligge i et </w:t>
      </w:r>
      <w:proofErr w:type="spellStart"/>
      <w:r w:rsidRPr="00CE7FE3">
        <w:t>grenseområde</w:t>
      </w:r>
      <w:proofErr w:type="spellEnd"/>
      <w:r w:rsidRPr="00CE7FE3">
        <w:t xml:space="preserve"> mellom disse. Saken er ikke lagt til FHI å realitetsbehandle, men samtidig har de avgjort å advare befolkningen mot legemiddelet. </w:t>
      </w:r>
    </w:p>
    <w:p w14:paraId="23DE3FD3" w14:textId="77777777" w:rsidR="00D96995" w:rsidRPr="00CE7FE3" w:rsidRDefault="00D96995" w:rsidP="00D96995">
      <w:pPr>
        <w:pStyle w:val="NormalWeb"/>
        <w:spacing w:line="360" w:lineRule="auto"/>
      </w:pPr>
      <w:r w:rsidRPr="00CE7FE3">
        <w:t xml:space="preserve">Om advarselen rettet seg formelt mot selskapet ville det gjerne vært en annen sak, da dette vil tydeligere falle inn under ordlyden </w:t>
      </w:r>
      <w:proofErr w:type="gramStart"/>
      <w:r w:rsidRPr="00CE7FE3">
        <w:t>av ”avgjørelse</w:t>
      </w:r>
      <w:proofErr w:type="gramEnd"/>
      <w:r w:rsidRPr="00CE7FE3">
        <w:t xml:space="preserve">”. Av hensyn til kontradiksjonsprinsippet vil slike advarsler regnes som </w:t>
      </w:r>
      <w:commentRangeStart w:id="42"/>
      <w:r w:rsidRPr="00CE7FE3">
        <w:t>vedtak</w:t>
      </w:r>
      <w:commentRangeEnd w:id="42"/>
      <w:r w:rsidR="00E81C8A">
        <w:rPr>
          <w:rStyle w:val="Merknadsreferanse"/>
          <w:rFonts w:asciiTheme="minorHAnsi" w:eastAsiaTheme="minorHAnsi" w:hAnsiTheme="minorHAnsi" w:cstheme="minorBidi"/>
          <w:lang w:eastAsia="en-US"/>
        </w:rPr>
        <w:commentReference w:id="42"/>
      </w:r>
      <w:r w:rsidRPr="00CE7FE3">
        <w:t xml:space="preserve">. </w:t>
      </w:r>
    </w:p>
    <w:p w14:paraId="204346F7" w14:textId="77777777" w:rsidR="00D96995" w:rsidRPr="00CE7FE3" w:rsidRDefault="00D96995" w:rsidP="00D96995">
      <w:pPr>
        <w:pStyle w:val="NormalWeb"/>
        <w:spacing w:line="360" w:lineRule="auto"/>
      </w:pPr>
      <w:r w:rsidRPr="00CE7FE3">
        <w:t xml:space="preserve">Her er ikke advarselen gitt formelt til selskapet, men retter seg mot befolkningen. Det er ikke tvil om at terskelen er høy for at et forvaltningsorgan </w:t>
      </w:r>
      <w:proofErr w:type="spellStart"/>
      <w:r w:rsidRPr="00CE7FE3">
        <w:t>går</w:t>
      </w:r>
      <w:proofErr w:type="spellEnd"/>
      <w:r w:rsidRPr="00CE7FE3">
        <w:t xml:space="preserve"> ut med en sterk advarsel mot å benytte seg av et legemiddel, og dette vil tale for at det foreligger </w:t>
      </w:r>
      <w:proofErr w:type="gramStart"/>
      <w:r w:rsidRPr="00CE7FE3">
        <w:t>en ”avgjørelse</w:t>
      </w:r>
      <w:proofErr w:type="gramEnd"/>
      <w:r w:rsidRPr="00CE7FE3">
        <w:t xml:space="preserve">”. </w:t>
      </w:r>
    </w:p>
    <w:p w14:paraId="500625E1" w14:textId="77777777" w:rsidR="00D96995" w:rsidRPr="00CE7FE3" w:rsidRDefault="00D96995" w:rsidP="00D96995">
      <w:pPr>
        <w:pStyle w:val="NormalWeb"/>
        <w:spacing w:line="360" w:lineRule="auto"/>
      </w:pPr>
      <w:r w:rsidRPr="00CE7FE3">
        <w:t xml:space="preserve">Naturlig tolket vil det foreligge </w:t>
      </w:r>
      <w:proofErr w:type="gramStart"/>
      <w:r w:rsidRPr="00CE7FE3">
        <w:t>en ”avgjørelse</w:t>
      </w:r>
      <w:proofErr w:type="gramEnd"/>
      <w:r w:rsidRPr="00CE7FE3">
        <w:t xml:space="preserve">”. </w:t>
      </w:r>
    </w:p>
    <w:p w14:paraId="16E812C4" w14:textId="77777777" w:rsidR="00D96995" w:rsidRPr="00CE7FE3" w:rsidRDefault="00D96995" w:rsidP="00D96995">
      <w:pPr>
        <w:pStyle w:val="NormalWeb"/>
        <w:spacing w:line="360" w:lineRule="auto"/>
      </w:pPr>
      <w:r w:rsidRPr="00CE7FE3">
        <w:t xml:space="preserve">Et vedtak </w:t>
      </w:r>
      <w:proofErr w:type="spellStart"/>
      <w:r w:rsidRPr="00CE7FE3">
        <w:t>ma</w:t>
      </w:r>
      <w:proofErr w:type="spellEnd"/>
      <w:r w:rsidRPr="00CE7FE3">
        <w:t xml:space="preserve">̊ </w:t>
      </w:r>
      <w:proofErr w:type="spellStart"/>
      <w:r w:rsidRPr="00CE7FE3">
        <w:t>ogsa</w:t>
      </w:r>
      <w:proofErr w:type="spellEnd"/>
      <w:r w:rsidRPr="00CE7FE3">
        <w:t xml:space="preserve">̊ </w:t>
      </w:r>
      <w:proofErr w:type="gramStart"/>
      <w:r w:rsidRPr="00CE7FE3">
        <w:t>være ”bestemmende</w:t>
      </w:r>
      <w:proofErr w:type="gramEnd"/>
      <w:r w:rsidRPr="00CE7FE3">
        <w:t xml:space="preserve"> for rettigheter eller plikter”, som naturlig tolket gjelder de avgjørelser som stifter, opphever eller begrenser en rett eller plikt. Av lovens forarbeider skal det </w:t>
      </w:r>
      <w:proofErr w:type="spellStart"/>
      <w:r w:rsidRPr="00CE7FE3">
        <w:t>forstås</w:t>
      </w:r>
      <w:proofErr w:type="spellEnd"/>
      <w:r w:rsidRPr="00CE7FE3">
        <w:t xml:space="preserve"> som potensiell endring av rettsstilling. </w:t>
      </w:r>
      <w:proofErr w:type="spellStart"/>
      <w:r w:rsidRPr="00CE7FE3">
        <w:t>Når</w:t>
      </w:r>
      <w:proofErr w:type="spellEnd"/>
      <w:r w:rsidRPr="00CE7FE3">
        <w:t xml:space="preserve"> advarselen ikke er gitt Nextvirus, vil det ikke klart kunne anses </w:t>
      </w:r>
      <w:proofErr w:type="gramStart"/>
      <w:r w:rsidRPr="00CE7FE3">
        <w:t>som ”bestemmende</w:t>
      </w:r>
      <w:proofErr w:type="gramEnd"/>
      <w:r w:rsidRPr="00CE7FE3">
        <w:t xml:space="preserve">” for deres rettsstilling. At selskapet </w:t>
      </w:r>
      <w:proofErr w:type="spellStart"/>
      <w:r w:rsidRPr="00CE7FE3">
        <w:t>går</w:t>
      </w:r>
      <w:proofErr w:type="spellEnd"/>
      <w:r w:rsidRPr="00CE7FE3">
        <w:t xml:space="preserve"> konkurs som en direkte følge av advarselen faller ikke klart innenfor ordlyden </w:t>
      </w:r>
      <w:proofErr w:type="gramStart"/>
      <w:r w:rsidRPr="00CE7FE3">
        <w:t>av ”bestemmende</w:t>
      </w:r>
      <w:proofErr w:type="gramEnd"/>
      <w:r w:rsidRPr="00CE7FE3">
        <w:t xml:space="preserve">”. På den ene siden bestemmer ikke advarselen formelt selskapets rett til å selge legemiddelet, men ved å sterkt fraråde Norges befolkning fra å kjøpe dette </w:t>
      </w:r>
      <w:proofErr w:type="spellStart"/>
      <w:r w:rsidRPr="00CE7FE3">
        <w:t>går</w:t>
      </w:r>
      <w:proofErr w:type="spellEnd"/>
      <w:r w:rsidRPr="00CE7FE3">
        <w:t xml:space="preserve"> det negativt utover deres mulighet til å drive den virksomheten som er gitt dem i medhold av </w:t>
      </w:r>
      <w:commentRangeStart w:id="43"/>
      <w:r w:rsidRPr="00CE7FE3">
        <w:t>lov</w:t>
      </w:r>
      <w:commentRangeEnd w:id="43"/>
      <w:r w:rsidR="008D0177">
        <w:rPr>
          <w:rStyle w:val="Merknadsreferanse"/>
          <w:rFonts w:asciiTheme="minorHAnsi" w:eastAsiaTheme="minorHAnsi" w:hAnsiTheme="minorHAnsi" w:cstheme="minorBidi"/>
          <w:lang w:eastAsia="en-US"/>
        </w:rPr>
        <w:commentReference w:id="43"/>
      </w:r>
      <w:r w:rsidRPr="00CE7FE3">
        <w:t xml:space="preserve">. Uten å eksplisitt oppheve eller begrense deres rett til å selge desinfeksjonsmiddel, fører advarselen til at deres rett blir sterkt begrenset. Men selv om konkursen er en direkte følge av advarselen, følger det ikke direkte av advarselen at selskapets rettigheter begrenses eller oppheves. De blir ikke fratatt retten til å selge legemiddelet selv om mulighetene for en vellykket virksomhet begrenses i stor grad. Med det vil ikke advarselen </w:t>
      </w:r>
      <w:proofErr w:type="gramStart"/>
      <w:r w:rsidRPr="00CE7FE3">
        <w:t>være ”bestemmende</w:t>
      </w:r>
      <w:proofErr w:type="gramEnd"/>
      <w:r w:rsidRPr="00CE7FE3">
        <w:t xml:space="preserve"> for [Nextvirus ́] rettigheter eller </w:t>
      </w:r>
      <w:commentRangeStart w:id="44"/>
      <w:r w:rsidRPr="00CE7FE3">
        <w:t>plikter</w:t>
      </w:r>
      <w:commentRangeEnd w:id="44"/>
      <w:r w:rsidR="008D0177">
        <w:rPr>
          <w:rStyle w:val="Merknadsreferanse"/>
          <w:rFonts w:asciiTheme="minorHAnsi" w:eastAsiaTheme="minorHAnsi" w:hAnsiTheme="minorHAnsi" w:cstheme="minorBidi"/>
          <w:lang w:eastAsia="en-US"/>
        </w:rPr>
        <w:commentReference w:id="44"/>
      </w:r>
      <w:r w:rsidRPr="00CE7FE3">
        <w:t xml:space="preserve">”. </w:t>
      </w:r>
    </w:p>
    <w:p w14:paraId="60249D80" w14:textId="77777777" w:rsidR="00D96995" w:rsidRPr="00CE7FE3" w:rsidRDefault="00D96995" w:rsidP="00D96995">
      <w:pPr>
        <w:pStyle w:val="NormalWeb"/>
        <w:spacing w:line="360" w:lineRule="auto"/>
      </w:pPr>
      <w:r w:rsidRPr="00CE7FE3">
        <w:t xml:space="preserve">Spørsmålet videre blir om advarselen </w:t>
      </w:r>
      <w:proofErr w:type="gramStart"/>
      <w:r w:rsidRPr="00CE7FE3">
        <w:t>virker ”bestemmende</w:t>
      </w:r>
      <w:proofErr w:type="gramEnd"/>
      <w:r w:rsidRPr="00CE7FE3">
        <w:t xml:space="preserve"> for [befolkningens] ”rettigheter eller </w:t>
      </w:r>
      <w:commentRangeStart w:id="45"/>
      <w:r w:rsidRPr="00CE7FE3">
        <w:t>plikter</w:t>
      </w:r>
      <w:commentRangeEnd w:id="45"/>
      <w:r w:rsidR="008D0177">
        <w:rPr>
          <w:rStyle w:val="Merknadsreferanse"/>
          <w:rFonts w:asciiTheme="minorHAnsi" w:eastAsiaTheme="minorHAnsi" w:hAnsiTheme="minorHAnsi" w:cstheme="minorBidi"/>
          <w:lang w:eastAsia="en-US"/>
        </w:rPr>
        <w:commentReference w:id="45"/>
      </w:r>
      <w:r w:rsidRPr="00CE7FE3">
        <w:t xml:space="preserve">”. Avgjørelsen om å advare befolkningen ”sterkt” mot å ta legemiddelet i bruk vil </w:t>
      </w:r>
      <w:r w:rsidRPr="00CE7FE3">
        <w:lastRenderedPageBreak/>
        <w:t xml:space="preserve">ikke være bindende. Det skaper ikke en plikt til å etterfølge advarselen, og begrenser heller ikke retten til å bruke middelet. </w:t>
      </w:r>
    </w:p>
    <w:p w14:paraId="77BB2F75" w14:textId="77777777" w:rsidR="00D96995" w:rsidRPr="00CE7FE3" w:rsidRDefault="00D96995" w:rsidP="00D96995">
      <w:pPr>
        <w:pStyle w:val="NormalWeb"/>
        <w:spacing w:line="360" w:lineRule="auto"/>
      </w:pPr>
      <w:r w:rsidRPr="00CE7FE3">
        <w:t xml:space="preserve">Advarselen vil altså ikke oppfylle vilkåret til å være ”bestemmende for rettigheter eller plikter” for verken selskapet eller befolkningen. </w:t>
      </w:r>
    </w:p>
    <w:p w14:paraId="63189449" w14:textId="77777777" w:rsidR="00D96995" w:rsidRPr="00CE7FE3" w:rsidRDefault="00D96995" w:rsidP="00D96995">
      <w:pPr>
        <w:pStyle w:val="NormalWeb"/>
        <w:spacing w:line="360" w:lineRule="auto"/>
      </w:pPr>
      <w:r w:rsidRPr="00CE7FE3">
        <w:t xml:space="preserve">Da vilkårene </w:t>
      </w:r>
      <w:proofErr w:type="gramStart"/>
      <w:r w:rsidRPr="00CE7FE3">
        <w:t>for ”vedtak</w:t>
      </w:r>
      <w:proofErr w:type="gramEnd"/>
      <w:r w:rsidRPr="00CE7FE3">
        <w:t xml:space="preserve">” er kumulative vil det altså ikke foreligge et vedtak, og resten av drøftingen er </w:t>
      </w:r>
      <w:commentRangeStart w:id="46"/>
      <w:r w:rsidRPr="00CE7FE3">
        <w:t>subsidiær</w:t>
      </w:r>
      <w:commentRangeEnd w:id="46"/>
      <w:r w:rsidR="008D0177">
        <w:rPr>
          <w:rStyle w:val="Merknadsreferanse"/>
          <w:rFonts w:asciiTheme="minorHAnsi" w:eastAsiaTheme="minorHAnsi" w:hAnsiTheme="minorHAnsi" w:cstheme="minorBidi"/>
          <w:lang w:eastAsia="en-US"/>
        </w:rPr>
        <w:commentReference w:id="46"/>
      </w:r>
      <w:r w:rsidRPr="00CE7FE3">
        <w:t xml:space="preserve">. </w:t>
      </w:r>
    </w:p>
    <w:p w14:paraId="40FDAD3B" w14:textId="71A994C5" w:rsidR="00D96995" w:rsidRPr="00CE7FE3" w:rsidRDefault="00D96995" w:rsidP="00D96995">
      <w:pPr>
        <w:pStyle w:val="NormalWeb"/>
        <w:spacing w:line="360" w:lineRule="auto"/>
      </w:pPr>
      <w:r w:rsidRPr="00CE7FE3">
        <w:t xml:space="preserve">Vilkåret for ”utøving av offentlig myndighet” vil naturlig tolket dreie seg om kompetanse som er eksklusiv for forvaltningen. Spørsmålet blir om kompetansen til å advare om legemidler er eksklusiv for forvaltningen. I grunn kan hvem som helst i medhold av ytringsfriheten uttale seg negativ til legemidler og advare befolkningen på ulike medier om dette. Likevel faller advarselen innenfor oppgaver som er tillagt det offentlige, og vil nok ikke ha karakter av å være privatrettslig. Men å gi advarsler uten bindende virkning er ikke et uttrykk på statens” høyhetsrett” overfor borgerne. At FHI er forvaltningsorgan vil ikke ha mer betydning her enn at deres advarsel vil ha større legitimitet enn andres. Det dreier seg ikke om” utøving av offentlig </w:t>
      </w:r>
      <w:commentRangeStart w:id="47"/>
      <w:r w:rsidRPr="00CE7FE3">
        <w:t>myndighet</w:t>
      </w:r>
      <w:commentRangeEnd w:id="47"/>
      <w:r w:rsidR="008D0177">
        <w:rPr>
          <w:rStyle w:val="Merknadsreferanse"/>
          <w:rFonts w:asciiTheme="minorHAnsi" w:eastAsiaTheme="minorHAnsi" w:hAnsiTheme="minorHAnsi" w:cstheme="minorBidi"/>
          <w:lang w:eastAsia="en-US"/>
        </w:rPr>
        <w:commentReference w:id="47"/>
      </w:r>
      <w:r w:rsidRPr="00CE7FE3">
        <w:t xml:space="preserve">”. </w:t>
      </w:r>
    </w:p>
    <w:p w14:paraId="5EEB7BCF" w14:textId="75EF938B" w:rsidR="00D96995" w:rsidRPr="00CE7FE3" w:rsidRDefault="00D96995" w:rsidP="00D96995">
      <w:pPr>
        <w:pStyle w:val="NormalWeb"/>
        <w:spacing w:line="360" w:lineRule="auto"/>
      </w:pPr>
      <w:r w:rsidRPr="00CE7FE3">
        <w:t xml:space="preserve">Om det likevel skulle sies å foreligge et vedtak ville det videre blitt relevant å drøfte om det dreide som </w:t>
      </w:r>
      <w:proofErr w:type="gramStart"/>
      <w:r w:rsidRPr="00CE7FE3">
        <w:t>et</w:t>
      </w:r>
      <w:r>
        <w:t xml:space="preserve"> </w:t>
      </w:r>
      <w:r w:rsidRPr="00CE7FE3">
        <w:t>”enkeltvedtak</w:t>
      </w:r>
      <w:proofErr w:type="gramEnd"/>
      <w:r w:rsidRPr="00CE7FE3">
        <w:t xml:space="preserve">” eller en ”forskrift” overfor </w:t>
      </w:r>
      <w:commentRangeStart w:id="48"/>
      <w:r w:rsidRPr="00CE7FE3">
        <w:t>befolkning</w:t>
      </w:r>
      <w:commentRangeEnd w:id="48"/>
      <w:r w:rsidR="005D199D">
        <w:rPr>
          <w:rStyle w:val="Merknadsreferanse"/>
          <w:rFonts w:asciiTheme="minorHAnsi" w:eastAsiaTheme="minorHAnsi" w:hAnsiTheme="minorHAnsi" w:cstheme="minorBidi"/>
          <w:lang w:eastAsia="en-US"/>
        </w:rPr>
        <w:commentReference w:id="48"/>
      </w:r>
      <w:r w:rsidRPr="00CE7FE3">
        <w:t xml:space="preserve">. </w:t>
      </w:r>
    </w:p>
    <w:p w14:paraId="0AF9AA11" w14:textId="77777777" w:rsidR="00D96995" w:rsidRPr="00CE7FE3" w:rsidRDefault="00D96995" w:rsidP="00D96995">
      <w:pPr>
        <w:pStyle w:val="NormalWeb"/>
        <w:spacing w:line="360" w:lineRule="auto"/>
      </w:pPr>
      <w:r w:rsidRPr="00CE7FE3">
        <w:t xml:space="preserve">Vurderingsmomentet er om vedtaket retter seg mot ”bestemte personer” eller en ”ubegrenset krets av personer”, jf. § 2 (1) bokstav b og c. </w:t>
      </w:r>
    </w:p>
    <w:p w14:paraId="26FDF6F0" w14:textId="01B39D0F" w:rsidR="00D96995" w:rsidRPr="00CE7FE3" w:rsidRDefault="00D96995" w:rsidP="00D96995">
      <w:pPr>
        <w:pStyle w:val="NormalWeb"/>
        <w:spacing w:line="360" w:lineRule="auto"/>
      </w:pPr>
      <w:r w:rsidRPr="00CE7FE3">
        <w:t xml:space="preserve">Det blir problematisk å legge til grunn at vedtaket retter seg mot ”bestemte personer”. Visst utelukkes det til en viss grad at advarselen gjelder andre enn Norges befolkning, men hvem som </w:t>
      </w:r>
      <w:r w:rsidR="00D547F4" w:rsidRPr="00CE7FE3">
        <w:t>inngår</w:t>
      </w:r>
      <w:r w:rsidRPr="00CE7FE3">
        <w:t xml:space="preserve"> under denne betegnelsen vil ikke være enkelt å kartlegge. Både siden befolkningen hele tiden endrer seg, og det kan stilles </w:t>
      </w:r>
      <w:r w:rsidR="00D547F4" w:rsidRPr="00CE7FE3">
        <w:t>spørsmål</w:t>
      </w:r>
      <w:r w:rsidRPr="00CE7FE3">
        <w:t xml:space="preserve"> ved om det gjelder dem med norsk statsborgerskap, alle som bor fast i Norge eller alle som oppholder seg i Norge på tiden vedtaket treffes. Det vil nokså klart ikke være ”bestemte personer”, men heller en ”ubegrenset krets av personer”. </w:t>
      </w:r>
    </w:p>
    <w:p w14:paraId="77F727D5" w14:textId="77777777" w:rsidR="00D96995" w:rsidRPr="00CE7FE3" w:rsidRDefault="00D96995" w:rsidP="00D96995">
      <w:pPr>
        <w:pStyle w:val="NormalWeb"/>
        <w:spacing w:line="360" w:lineRule="auto"/>
      </w:pPr>
      <w:r w:rsidRPr="00CE7FE3">
        <w:t>Vedtaket er en forskrift.</w:t>
      </w:r>
      <w:r w:rsidRPr="00CE7FE3">
        <w:br/>
        <w:t xml:space="preserve">Konklusjon: Advarselen er ikke et </w:t>
      </w:r>
      <w:commentRangeStart w:id="49"/>
      <w:r w:rsidRPr="00CE7FE3">
        <w:t>vedtak</w:t>
      </w:r>
      <w:commentRangeEnd w:id="49"/>
      <w:r w:rsidR="001447BB">
        <w:rPr>
          <w:rStyle w:val="Merknadsreferanse"/>
          <w:rFonts w:asciiTheme="minorHAnsi" w:eastAsiaTheme="minorHAnsi" w:hAnsiTheme="minorHAnsi" w:cstheme="minorBidi"/>
          <w:lang w:eastAsia="en-US"/>
        </w:rPr>
        <w:commentReference w:id="49"/>
      </w:r>
      <w:r w:rsidRPr="00CE7FE3">
        <w:t xml:space="preserve">. </w:t>
      </w:r>
    </w:p>
    <w:p w14:paraId="2151BE39" w14:textId="77777777" w:rsidR="00D31A99" w:rsidRDefault="00D31A99"/>
    <w:sectPr w:rsidR="00D31A99" w:rsidSect="001C1B07">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ngeborg Ousdal" w:date="2021-11-16T12:16:00Z" w:initials="IO">
    <w:p w14:paraId="6BC23F50" w14:textId="2E48543A" w:rsidR="00A55179" w:rsidRDefault="00A55179">
      <w:pPr>
        <w:pStyle w:val="Merknadstekst"/>
      </w:pPr>
      <w:r>
        <w:rPr>
          <w:rStyle w:val="Merknadsreferanse"/>
        </w:rPr>
        <w:annotationRef/>
      </w:r>
      <w:r>
        <w:t xml:space="preserve">Fint at kandidaten starter med å presentere riktig rettslig grunnlag. </w:t>
      </w:r>
    </w:p>
  </w:comment>
  <w:comment w:id="1" w:author="Ingeborg Ousdal" w:date="2021-11-16T12:11:00Z" w:initials="IO">
    <w:p w14:paraId="28BBAD45" w14:textId="77777777" w:rsidR="00C7559F" w:rsidRDefault="00C7559F">
      <w:pPr>
        <w:pStyle w:val="Merknadstekst"/>
      </w:pPr>
      <w:r>
        <w:rPr>
          <w:rStyle w:val="Merknadsreferanse"/>
        </w:rPr>
        <w:annotationRef/>
      </w:r>
      <w:r>
        <w:t xml:space="preserve">Kandidaten har her hoppet rett til </w:t>
      </w:r>
      <w:proofErr w:type="spellStart"/>
      <w:r>
        <w:t>fvl</w:t>
      </w:r>
      <w:proofErr w:type="spellEnd"/>
      <w:r>
        <w:t xml:space="preserve">. § 1 annet punktum, men skulle ha startet med å vurdere ordlyden «virksomhet» i § 1 første punktum. </w:t>
      </w:r>
      <w:r>
        <w:br/>
      </w:r>
      <w:r>
        <w:br/>
        <w:t xml:space="preserve">Behandling av søknader om markedsføringsføringstillatelse må anses som slik «virksomhet» som loven legger opp til, og kandidaten burde ha vist til at dette også er et vilkår for at forvaltningsloven skal komme til anvendelse. </w:t>
      </w:r>
    </w:p>
    <w:p w14:paraId="7F294DF6" w14:textId="77777777" w:rsidR="00A55179" w:rsidRDefault="00A55179">
      <w:pPr>
        <w:pStyle w:val="Merknadstekst"/>
      </w:pPr>
    </w:p>
    <w:p w14:paraId="6FE58E24" w14:textId="1189BA71" w:rsidR="00A55179" w:rsidRDefault="00A55179">
      <w:pPr>
        <w:pStyle w:val="Merknadstekst"/>
      </w:pPr>
      <w:r>
        <w:t xml:space="preserve">Videre burde kandidaten ha supplert med at siden Statens legemiddelverk er et «organ for stat», så er det et «forvaltningsorgan» etter § 1 annet punktum. </w:t>
      </w:r>
    </w:p>
  </w:comment>
  <w:comment w:id="2" w:author="Ingeborg Ousdal" w:date="2021-11-16T12:17:00Z" w:initials="IO">
    <w:p w14:paraId="27D3F07E" w14:textId="461D0750" w:rsidR="00A55179" w:rsidRDefault="00A55179">
      <w:pPr>
        <w:pStyle w:val="Merknadstekst"/>
      </w:pPr>
      <w:r>
        <w:rPr>
          <w:rStyle w:val="Merknadsreferanse"/>
        </w:rPr>
        <w:annotationRef/>
      </w:r>
      <w:r>
        <w:t xml:space="preserve">Korrekt bruk av anførsler. </w:t>
      </w:r>
    </w:p>
  </w:comment>
  <w:comment w:id="3" w:author="Ingeborg Ousdal" w:date="2021-11-16T12:19:00Z" w:initials="IO">
    <w:p w14:paraId="62AE6B1E" w14:textId="4C915780" w:rsidR="00A55179" w:rsidRDefault="00A55179">
      <w:pPr>
        <w:pStyle w:val="Merknadstekst"/>
      </w:pPr>
      <w:r>
        <w:rPr>
          <w:rStyle w:val="Merknadsreferanse"/>
        </w:rPr>
        <w:annotationRef/>
      </w:r>
      <w:r>
        <w:t xml:space="preserve">Noe ufullstendig gjengivelse av ordlyd. Får ikke med vilkåret om at enkeltvedtaket må gjelde «rettigheter eller plikter». </w:t>
      </w:r>
    </w:p>
  </w:comment>
  <w:comment w:id="4" w:author="Ingeborg Ousdal" w:date="2021-11-16T12:22:00Z" w:initials="IO">
    <w:p w14:paraId="7ED6A2A9" w14:textId="69002F3D" w:rsidR="00A55179" w:rsidRDefault="00A55179">
      <w:pPr>
        <w:pStyle w:val="Merknadstekst"/>
      </w:pPr>
      <w:r>
        <w:rPr>
          <w:rStyle w:val="Merknadsreferanse"/>
        </w:rPr>
        <w:annotationRef/>
      </w:r>
      <w:r>
        <w:t xml:space="preserve">Kandidaten har behandlet alle vilkårene for vedtak etter </w:t>
      </w:r>
      <w:proofErr w:type="spellStart"/>
      <w:r>
        <w:t>fvl</w:t>
      </w:r>
      <w:proofErr w:type="spellEnd"/>
      <w:r>
        <w:t xml:space="preserve">. § 2 (1) bokstav a, og viser godt juridisk skjønn ved å gjennomgå dette kort. </w:t>
      </w:r>
    </w:p>
  </w:comment>
  <w:comment w:id="5" w:author="Ingeborg Ousdal" w:date="2021-11-16T12:25:00Z" w:initials="IO">
    <w:p w14:paraId="24790875" w14:textId="64C8250C" w:rsidR="00DB6085" w:rsidRDefault="00DB6085">
      <w:pPr>
        <w:pStyle w:val="Merknadstekst"/>
      </w:pPr>
      <w:r>
        <w:rPr>
          <w:rStyle w:val="Merknadsreferanse"/>
        </w:rPr>
        <w:annotationRef/>
      </w:r>
      <w:r>
        <w:t xml:space="preserve">Kandidaten behandler i dette avsnittet om avgjørelsen er «bestemmende for rettigheter», men </w:t>
      </w:r>
      <w:proofErr w:type="spellStart"/>
      <w:r>
        <w:t>delkonkluderer</w:t>
      </w:r>
      <w:proofErr w:type="spellEnd"/>
      <w:r>
        <w:t xml:space="preserve"> med at avslaget er «utøving av offentlig myndighet». Dette anses som en skrivefeil. </w:t>
      </w:r>
    </w:p>
  </w:comment>
  <w:comment w:id="6" w:author="Ingeborg Ousdal" w:date="2021-11-16T12:27:00Z" w:initials="IO">
    <w:p w14:paraId="6D4231B8" w14:textId="40FC97F9" w:rsidR="00DB6085" w:rsidRDefault="00DB6085">
      <w:pPr>
        <w:pStyle w:val="Merknadstekst"/>
      </w:pPr>
      <w:r>
        <w:rPr>
          <w:rStyle w:val="Merknadsreferanse"/>
        </w:rPr>
        <w:annotationRef/>
      </w:r>
      <w:r>
        <w:t xml:space="preserve">Det er bra at kandidaten har foretatt denne vurderingen kort og konsist. </w:t>
      </w:r>
      <w:r>
        <w:br/>
      </w:r>
      <w:r>
        <w:br/>
        <w:t xml:space="preserve">Kunne med fordel ha problematisert grensedragningen mellom «enkeltvedtak» og «forskrift», jf. henholdsvis </w:t>
      </w:r>
      <w:proofErr w:type="spellStart"/>
      <w:r>
        <w:t>fvl</w:t>
      </w:r>
      <w:proofErr w:type="spellEnd"/>
      <w:r>
        <w:t xml:space="preserve">. § 2 (1) bokstav b og c. </w:t>
      </w:r>
    </w:p>
  </w:comment>
  <w:comment w:id="7" w:author="Ingeborg Ousdal" w:date="2021-11-16T12:31:00Z" w:initials="IO">
    <w:p w14:paraId="5E9ADD7B" w14:textId="795ADE65" w:rsidR="00AB2753" w:rsidRDefault="00AB2753">
      <w:pPr>
        <w:pStyle w:val="Merknadstekst"/>
      </w:pPr>
      <w:r>
        <w:rPr>
          <w:rStyle w:val="Merknadsreferanse"/>
        </w:rPr>
        <w:annotationRef/>
      </w:r>
      <w:r w:rsidR="00173167">
        <w:t xml:space="preserve">Kandidaten kunne med fordel ha fått tydeligere frem at det er et selvstendig </w:t>
      </w:r>
      <w:r>
        <w:t xml:space="preserve">vilkår etter § 28 at </w:t>
      </w:r>
      <w:proofErr w:type="spellStart"/>
      <w:r>
        <w:t>Nextvirus</w:t>
      </w:r>
      <w:proofErr w:type="spellEnd"/>
      <w:r>
        <w:t xml:space="preserve"> AS er en «part eller annen med rettslig klageinteresse i saken». </w:t>
      </w:r>
    </w:p>
  </w:comment>
  <w:comment w:id="8" w:author="Ingeborg Ousdal" w:date="2021-11-16T12:33:00Z" w:initials="IO">
    <w:p w14:paraId="1E2E0262" w14:textId="5B6AD58B" w:rsidR="00AB2753" w:rsidRDefault="00AB2753">
      <w:pPr>
        <w:pStyle w:val="Merknadstekst"/>
      </w:pPr>
      <w:r>
        <w:rPr>
          <w:rStyle w:val="Merknadsreferanse"/>
        </w:rPr>
        <w:annotationRef/>
      </w:r>
      <w:r>
        <w:t>Fint at kandidaten ser at dette er alternative vilkår og ikke kumulative</w:t>
      </w:r>
      <w:r w:rsidR="00091342">
        <w:t>, og går rett på å vurdere det alternativ som er aktuelt her</w:t>
      </w:r>
      <w:r>
        <w:t xml:space="preserve">. </w:t>
      </w:r>
    </w:p>
  </w:comment>
  <w:comment w:id="9" w:author="Ingeborg Ousdal" w:date="2021-11-18T09:17:00Z" w:initials="IO">
    <w:p w14:paraId="29545DF2" w14:textId="67DC8374" w:rsidR="00502860" w:rsidRDefault="00502860">
      <w:pPr>
        <w:pStyle w:val="Merknadstekst"/>
      </w:pPr>
      <w:r>
        <w:rPr>
          <w:rStyle w:val="Merknadsreferanse"/>
        </w:rPr>
        <w:annotationRef/>
      </w:r>
      <w:r>
        <w:t xml:space="preserve">Dette avsnittet blir litt tungt å lese. Pass språket. </w:t>
      </w:r>
    </w:p>
  </w:comment>
  <w:comment w:id="10" w:author="Ingeborg Ousdal" w:date="2021-11-16T12:40:00Z" w:initials="IO">
    <w:p w14:paraId="2C8F2823" w14:textId="0DABDD69" w:rsidR="00091342" w:rsidRDefault="00091342">
      <w:pPr>
        <w:pStyle w:val="Merknadstekst"/>
      </w:pPr>
      <w:r>
        <w:rPr>
          <w:rStyle w:val="Merknadsreferanse"/>
        </w:rPr>
        <w:annotationRef/>
      </w:r>
      <w:r>
        <w:t xml:space="preserve">Det er bra at kandidaten evner å adressere alle anførsler, men kunne med fordel avfeiet denne. Hadde ikke vært nødvendig med en behandling slik det her gjøres.  </w:t>
      </w:r>
    </w:p>
  </w:comment>
  <w:comment w:id="11" w:author="Ingeborg Ousdal" w:date="2021-11-16T12:42:00Z" w:initials="IO">
    <w:p w14:paraId="1559BF11" w14:textId="42B30DE5" w:rsidR="00091342" w:rsidRDefault="00091342">
      <w:pPr>
        <w:pStyle w:val="Merknadstekst"/>
      </w:pPr>
      <w:r>
        <w:rPr>
          <w:rStyle w:val="Merknadsreferanse"/>
        </w:rPr>
        <w:annotationRef/>
      </w:r>
      <w:r>
        <w:t xml:space="preserve">Bra at kandidaten tydelig viser konklusjonen. </w:t>
      </w:r>
    </w:p>
  </w:comment>
  <w:comment w:id="12" w:author="Ingeborg Ousdal" w:date="2021-11-16T12:44:00Z" w:initials="IO">
    <w:p w14:paraId="6A28DCFC" w14:textId="21F2351D" w:rsidR="00091342" w:rsidRDefault="00091342">
      <w:pPr>
        <w:pStyle w:val="Merknadstekst"/>
      </w:pPr>
      <w:r>
        <w:rPr>
          <w:rStyle w:val="Merknadsreferanse"/>
        </w:rPr>
        <w:annotationRef/>
      </w:r>
      <w:r>
        <w:t>Fint at kandidaten konstaterer at loven kommer til anvendelse.</w:t>
      </w:r>
    </w:p>
  </w:comment>
  <w:comment w:id="13" w:author="Ingeborg Ousdal" w:date="2021-11-16T12:45:00Z" w:initials="IO">
    <w:p w14:paraId="0448FBA7" w14:textId="77777777" w:rsidR="00091342" w:rsidRDefault="00091342">
      <w:pPr>
        <w:pStyle w:val="Merknadstekst"/>
      </w:pPr>
      <w:r>
        <w:rPr>
          <w:rStyle w:val="Merknadsreferanse"/>
        </w:rPr>
        <w:annotationRef/>
      </w:r>
      <w:r>
        <w:t xml:space="preserve">Denne blir noe upresis. Den overordnede problemstillingen er om Per Olsen var inhabil etter </w:t>
      </w:r>
      <w:proofErr w:type="spellStart"/>
      <w:r>
        <w:t>fvl</w:t>
      </w:r>
      <w:proofErr w:type="spellEnd"/>
      <w:r>
        <w:t xml:space="preserve">. § 6. </w:t>
      </w:r>
    </w:p>
    <w:p w14:paraId="16F8EB5B" w14:textId="77777777" w:rsidR="00091342" w:rsidRDefault="00091342">
      <w:pPr>
        <w:pStyle w:val="Merknadstekst"/>
      </w:pPr>
    </w:p>
    <w:p w14:paraId="63EC54CD" w14:textId="25987E68" w:rsidR="00091342" w:rsidRDefault="00091342">
      <w:pPr>
        <w:pStyle w:val="Merknadstekst"/>
      </w:pPr>
      <w:r>
        <w:t xml:space="preserve">Metodisk burde kandidaten startet i </w:t>
      </w:r>
      <w:proofErr w:type="spellStart"/>
      <w:r>
        <w:t>fvl</w:t>
      </w:r>
      <w:proofErr w:type="spellEnd"/>
      <w:r>
        <w:t xml:space="preserve">. § 6 (1), og deretter vurdert (2). </w:t>
      </w:r>
    </w:p>
  </w:comment>
  <w:comment w:id="14" w:author="Ingeborg Ousdal" w:date="2021-11-16T12:49:00Z" w:initials="IO">
    <w:p w14:paraId="1225017F" w14:textId="07EC90C7" w:rsidR="00A14A71" w:rsidRDefault="00A14A71">
      <w:pPr>
        <w:pStyle w:val="Merknadstekst"/>
      </w:pPr>
      <w:r>
        <w:rPr>
          <w:rStyle w:val="Merknadsreferanse"/>
        </w:rPr>
        <w:annotationRef/>
      </w:r>
      <w:r>
        <w:t xml:space="preserve">Litt upresist. Må gjengi lovteksten korrekt med bruk av anførselstegn. </w:t>
      </w:r>
    </w:p>
  </w:comment>
  <w:comment w:id="15" w:author="Ingeborg Ousdal" w:date="2021-11-16T12:47:00Z" w:initials="IO">
    <w:p w14:paraId="663621C3" w14:textId="03A3DFE4" w:rsidR="00091342" w:rsidRDefault="00091342">
      <w:pPr>
        <w:pStyle w:val="Merknadstekst"/>
      </w:pPr>
      <w:r>
        <w:rPr>
          <w:rStyle w:val="Merknadsreferanse"/>
        </w:rPr>
        <w:annotationRef/>
      </w:r>
      <w:r>
        <w:t xml:space="preserve">Bra sett. Kandidaten viser god kontroll på lovverket. </w:t>
      </w:r>
    </w:p>
  </w:comment>
  <w:comment w:id="16" w:author="Ingeborg Ousdal" w:date="2021-11-18T09:20:00Z" w:initials="IO">
    <w:p w14:paraId="11ABF706" w14:textId="60D481C2" w:rsidR="00502860" w:rsidRDefault="00502860">
      <w:pPr>
        <w:pStyle w:val="Merknadstekst"/>
      </w:pPr>
      <w:r>
        <w:rPr>
          <w:rStyle w:val="Merknadsreferanse"/>
        </w:rPr>
        <w:annotationRef/>
      </w:r>
      <w:r>
        <w:rPr>
          <w:rStyle w:val="Merknadsreferanse"/>
        </w:rPr>
        <w:t xml:space="preserve">Det er gjentakende for besvarelsen at kandidaten bruker «fyllord» før sitering av lovtekst. Dette er unødvendig og skaper dårlig flyt i språket. </w:t>
      </w:r>
    </w:p>
  </w:comment>
  <w:comment w:id="17" w:author="Ingeborg Ousdal" w:date="2021-11-16T12:51:00Z" w:initials="IO">
    <w:p w14:paraId="197AC4B0" w14:textId="125EF12E" w:rsidR="00A14A71" w:rsidRDefault="00A14A71">
      <w:pPr>
        <w:pStyle w:val="Merknadstekst"/>
      </w:pPr>
      <w:r>
        <w:rPr>
          <w:rStyle w:val="Merknadsreferanse"/>
        </w:rPr>
        <w:annotationRef/>
      </w:r>
      <w:r>
        <w:t xml:space="preserve">Kan ikke utledes av ordlyden, og kandidaten burde vist til rettslig grunnlag for argumentet. </w:t>
      </w:r>
    </w:p>
  </w:comment>
  <w:comment w:id="18" w:author="Ingeborg Ousdal" w:date="2021-11-16T12:52:00Z" w:initials="IO">
    <w:p w14:paraId="5F5723C3" w14:textId="73620B3E" w:rsidR="00A14A71" w:rsidRDefault="00A14A71">
      <w:pPr>
        <w:pStyle w:val="Merknadstekst"/>
      </w:pPr>
      <w:r>
        <w:rPr>
          <w:rStyle w:val="Merknadsreferanse"/>
        </w:rPr>
        <w:annotationRef/>
      </w:r>
      <w:r>
        <w:t xml:space="preserve">Bra – fint at kandidaten fort går videre til bestemmelsens andre ledd. </w:t>
      </w:r>
    </w:p>
  </w:comment>
  <w:comment w:id="19" w:author="Ingeborg Ousdal" w:date="2021-11-16T12:53:00Z" w:initials="IO">
    <w:p w14:paraId="13563D24" w14:textId="287B4E10" w:rsidR="00A14A71" w:rsidRDefault="00A14A71">
      <w:pPr>
        <w:pStyle w:val="Merknadstekst"/>
      </w:pPr>
      <w:r>
        <w:rPr>
          <w:rStyle w:val="Merknadsreferanse"/>
        </w:rPr>
        <w:annotationRef/>
      </w:r>
      <w:r>
        <w:t xml:space="preserve">Dette er riktig innfallsvinkel, men kandidaten burde forankret dette i lovteksten, altså § 6 (2). </w:t>
      </w:r>
    </w:p>
  </w:comment>
  <w:comment w:id="20" w:author="Ingeborg Ousdal" w:date="2021-11-16T12:54:00Z" w:initials="IO">
    <w:p w14:paraId="1D6E78A8" w14:textId="76289E92" w:rsidR="00A14A71" w:rsidRDefault="00A14A71">
      <w:pPr>
        <w:pStyle w:val="Merknadstekst"/>
      </w:pPr>
      <w:r>
        <w:rPr>
          <w:rStyle w:val="Merknadsreferanse"/>
        </w:rPr>
        <w:annotationRef/>
      </w:r>
      <w:r>
        <w:t xml:space="preserve">Bra metode. </w:t>
      </w:r>
      <w:r>
        <w:br/>
      </w:r>
      <w:r>
        <w:br/>
        <w:t xml:space="preserve">Kandidaten burde imidlertid fått med at de særegne forholdene må være «egnet til å svekke tilliten til hans upartiskhet», jf. § 6 (2) første punktum. Annet ledd tar sikte på en helhetsvurdering, og det er av betydning hvordan forholdet anses utad; et sentralt hensyn i den sammenheng er tilliten til forvaltningen. </w:t>
      </w:r>
    </w:p>
  </w:comment>
  <w:comment w:id="21" w:author="Ingeborg Ousdal" w:date="2021-11-16T12:58:00Z" w:initials="IO">
    <w:p w14:paraId="0F582F58" w14:textId="796D43BF" w:rsidR="00A14A71" w:rsidRDefault="00A14A71">
      <w:pPr>
        <w:pStyle w:val="Merknadstekst"/>
      </w:pPr>
      <w:r>
        <w:rPr>
          <w:rStyle w:val="Merknadsreferanse"/>
        </w:rPr>
        <w:annotationRef/>
      </w:r>
      <w:r>
        <w:t xml:space="preserve">Bra at kandidaten bruker dette som sammenligningsgrunnlag / målestokk. </w:t>
      </w:r>
    </w:p>
  </w:comment>
  <w:comment w:id="22" w:author="Ingeborg Ousdal" w:date="2021-11-16T12:59:00Z" w:initials="IO">
    <w:p w14:paraId="2AEC6AD8" w14:textId="02434B26" w:rsidR="001A3896" w:rsidRDefault="001A3896">
      <w:pPr>
        <w:pStyle w:val="Merknadstekst"/>
      </w:pPr>
      <w:r>
        <w:rPr>
          <w:rStyle w:val="Merknadsreferanse"/>
        </w:rPr>
        <w:annotationRef/>
      </w:r>
      <w:r>
        <w:t xml:space="preserve">God drøftelse. Kandidaten </w:t>
      </w:r>
      <w:r w:rsidR="00502860">
        <w:t>subsumerer på en god måte.</w:t>
      </w:r>
    </w:p>
    <w:p w14:paraId="0227D7DD" w14:textId="77777777" w:rsidR="001A3896" w:rsidRDefault="001A3896">
      <w:pPr>
        <w:pStyle w:val="Merknadstekst"/>
      </w:pPr>
    </w:p>
    <w:p w14:paraId="01FF792F" w14:textId="5EB6B408" w:rsidR="001A3896" w:rsidRDefault="001A3896">
      <w:pPr>
        <w:pStyle w:val="Merknadstekst"/>
      </w:pPr>
      <w:r>
        <w:t xml:space="preserve">For å ivareta metode og god struktur burde kandidaten her ha delkonkludert før han/hun går over til å vurdere det neste forholdet. </w:t>
      </w:r>
    </w:p>
  </w:comment>
  <w:comment w:id="23" w:author="Ingeborg Ousdal" w:date="2021-11-18T09:25:00Z" w:initials="IO">
    <w:p w14:paraId="6AA6B19E" w14:textId="1EE2972E" w:rsidR="00502860" w:rsidRDefault="00502860">
      <w:pPr>
        <w:pStyle w:val="Merknadstekst"/>
      </w:pPr>
      <w:r>
        <w:rPr>
          <w:rStyle w:val="Merknadsreferanse"/>
        </w:rPr>
        <w:annotationRef/>
      </w:r>
      <w:r>
        <w:t xml:space="preserve">For å gjøre det enkelt for sensor å følge, burde kandidaten – i tillegg til å </w:t>
      </w:r>
      <w:proofErr w:type="spellStart"/>
      <w:r>
        <w:t>delkonkludere</w:t>
      </w:r>
      <w:proofErr w:type="spellEnd"/>
      <w:r>
        <w:t xml:space="preserve"> over – startet denne vurderingen med «Det neste spørsmålet er om ekteskapet mellom Pers onkel og Lises tante får </w:t>
      </w:r>
      <w:r w:rsidR="00EC7EF8">
        <w:t xml:space="preserve">betydning for Pers habilitet». </w:t>
      </w:r>
    </w:p>
  </w:comment>
  <w:comment w:id="24" w:author="Ingeborg Ousdal" w:date="2021-11-16T13:01:00Z" w:initials="IO">
    <w:p w14:paraId="2225813B" w14:textId="484D8491" w:rsidR="001A3896" w:rsidRDefault="001A3896">
      <w:pPr>
        <w:pStyle w:val="Merknadstekst"/>
      </w:pPr>
      <w:r>
        <w:rPr>
          <w:rStyle w:val="Merknadsreferanse"/>
        </w:rPr>
        <w:annotationRef/>
      </w:r>
      <w:r>
        <w:t>Fint at kandidaten også her bruker</w:t>
      </w:r>
      <w:r w:rsidR="0034327C">
        <w:t xml:space="preserve"> </w:t>
      </w:r>
      <w:proofErr w:type="spellStart"/>
      <w:r w:rsidR="0034327C">
        <w:t>fvl</w:t>
      </w:r>
      <w:proofErr w:type="spellEnd"/>
      <w:r w:rsidR="0034327C">
        <w:t>. § 6</w:t>
      </w:r>
      <w:r>
        <w:t xml:space="preserve"> (1) som sammenligningsgrunnlag. </w:t>
      </w:r>
    </w:p>
  </w:comment>
  <w:comment w:id="25" w:author="Ingeborg Ousdal" w:date="2021-11-18T09:30:00Z" w:initials="IO">
    <w:p w14:paraId="60E3970D" w14:textId="35565B05" w:rsidR="0034327C" w:rsidRDefault="0034327C">
      <w:pPr>
        <w:pStyle w:val="Merknadstekst"/>
      </w:pPr>
      <w:r>
        <w:rPr>
          <w:rStyle w:val="Merknadsreferanse"/>
        </w:rPr>
        <w:annotationRef/>
      </w:r>
      <w:r>
        <w:t xml:space="preserve">Det blir noe søkt å dra parallellen til svogerskap etter § 6 (1) bokstav b såpass langt som kandidaten her gjør. Dette punkt kunne blitt gjort kortere, eksempelvis ved å trekke frem at det ikke er holdepunkter i faktum som tilsier at ekteskapet mellom tanten og onkelen «er egnet til å svekke tilliten til hans (Pers) upartiskhet». Momenter som kan trekkes inn her er faktums opplysning om at Per ikke en gang var klar over ekteskapet.  </w:t>
      </w:r>
    </w:p>
  </w:comment>
  <w:comment w:id="26" w:author="Ingeborg Ousdal" w:date="2021-11-16T13:04:00Z" w:initials="IO">
    <w:p w14:paraId="44FE2E53" w14:textId="2AD59182" w:rsidR="001A3896" w:rsidRDefault="001A3896">
      <w:pPr>
        <w:pStyle w:val="Merknadstekst"/>
      </w:pPr>
      <w:r>
        <w:rPr>
          <w:rStyle w:val="Merknadsreferanse"/>
        </w:rPr>
        <w:annotationRef/>
      </w:r>
      <w:r>
        <w:t xml:space="preserve">Bra. </w:t>
      </w:r>
    </w:p>
  </w:comment>
  <w:comment w:id="27" w:author="Ingeborg Ousdal" w:date="2021-11-16T13:05:00Z" w:initials="IO">
    <w:p w14:paraId="2D9E608A" w14:textId="77777777" w:rsidR="001A3896" w:rsidRDefault="001A3896">
      <w:pPr>
        <w:pStyle w:val="Merknadstekst"/>
      </w:pPr>
      <w:r>
        <w:rPr>
          <w:rStyle w:val="Merknadsreferanse"/>
        </w:rPr>
        <w:annotationRef/>
      </w:r>
      <w:r>
        <w:t>Bra bruk av faktum opp mot juss.</w:t>
      </w:r>
    </w:p>
    <w:p w14:paraId="4CD7A1D2" w14:textId="77777777" w:rsidR="001A3896" w:rsidRDefault="001A3896">
      <w:pPr>
        <w:pStyle w:val="Merknadstekst"/>
      </w:pPr>
    </w:p>
    <w:p w14:paraId="5E3BE272" w14:textId="16762D8D" w:rsidR="001A3896" w:rsidRDefault="001A3896">
      <w:pPr>
        <w:pStyle w:val="Merknadstekst"/>
      </w:pPr>
      <w:r>
        <w:t>Det blir imidlertid noe ulogisk å foreta en separat drøftelse av «egnet til å svekke tilliten til hans upartiskhet» når det allerede er drøftet og delkonkludert med at det ikke foreligger «særegne forhold». Vurderingen burde blitt tatt samlet.</w:t>
      </w:r>
    </w:p>
  </w:comment>
  <w:comment w:id="28" w:author="Ingeborg Ousdal" w:date="2021-11-16T13:09:00Z" w:initials="IO">
    <w:p w14:paraId="0A853823" w14:textId="5A7C2F0F" w:rsidR="00883EEF" w:rsidRDefault="00883EEF">
      <w:pPr>
        <w:pStyle w:val="Merknadstekst"/>
      </w:pPr>
      <w:r>
        <w:rPr>
          <w:rStyle w:val="Merknadsreferanse"/>
        </w:rPr>
        <w:annotationRef/>
      </w:r>
      <w:r>
        <w:t xml:space="preserve">Ufullstendig gjengivelse av ordlyd. </w:t>
      </w:r>
    </w:p>
  </w:comment>
  <w:comment w:id="29" w:author="Ingeborg Ousdal" w:date="2021-11-16T13:10:00Z" w:initials="IO">
    <w:p w14:paraId="53D170B7" w14:textId="584FCBEB" w:rsidR="004970A6" w:rsidRDefault="004970A6">
      <w:pPr>
        <w:pStyle w:val="Merknadstekst"/>
      </w:pPr>
      <w:r>
        <w:rPr>
          <w:rStyle w:val="Merknadsreferanse"/>
        </w:rPr>
        <w:annotationRef/>
      </w:r>
      <w:r>
        <w:t xml:space="preserve">Viktig å vise til hvilken lovbestemmelse som gjengis for å gjøre det enkelt for sensor å følge resonnementet. </w:t>
      </w:r>
    </w:p>
  </w:comment>
  <w:comment w:id="30" w:author="Ingeborg Ousdal" w:date="2021-11-16T13:11:00Z" w:initials="IO">
    <w:p w14:paraId="084EE98A" w14:textId="3A24F1BA" w:rsidR="004970A6" w:rsidRDefault="004970A6">
      <w:pPr>
        <w:pStyle w:val="Merknadstekst"/>
      </w:pPr>
      <w:r>
        <w:rPr>
          <w:rStyle w:val="Merknadsreferanse"/>
        </w:rPr>
        <w:annotationRef/>
      </w:r>
      <w:r>
        <w:t xml:space="preserve">Bra. </w:t>
      </w:r>
    </w:p>
  </w:comment>
  <w:comment w:id="31" w:author="Ingeborg Ousdal" w:date="2021-11-16T13:11:00Z" w:initials="IO">
    <w:p w14:paraId="365A3BD8" w14:textId="78B65126" w:rsidR="004970A6" w:rsidRDefault="004970A6">
      <w:pPr>
        <w:pStyle w:val="Merknadstekst"/>
      </w:pPr>
      <w:r>
        <w:rPr>
          <w:rStyle w:val="Merknadsreferanse"/>
        </w:rPr>
        <w:annotationRef/>
      </w:r>
      <w:r>
        <w:t xml:space="preserve">Bra – når forholdet ikke er nært blir terskelen høyere. </w:t>
      </w:r>
    </w:p>
  </w:comment>
  <w:comment w:id="32" w:author="Ingeborg Ousdal" w:date="2021-11-16T13:16:00Z" w:initials="IO">
    <w:p w14:paraId="055420BC" w14:textId="457215DD" w:rsidR="004970A6" w:rsidRDefault="004970A6">
      <w:pPr>
        <w:pStyle w:val="Merknadstekst"/>
      </w:pPr>
      <w:r>
        <w:rPr>
          <w:rStyle w:val="Merknadsreferanse"/>
        </w:rPr>
        <w:annotationRef/>
      </w:r>
      <w:r>
        <w:t xml:space="preserve">Her er det også et poeng at Lise ikke er part i saken. </w:t>
      </w:r>
    </w:p>
  </w:comment>
  <w:comment w:id="33" w:author="Ingeborg Ousdal" w:date="2021-11-16T13:18:00Z" w:initials="IO">
    <w:p w14:paraId="44BD9FB8" w14:textId="6FFC5FB8" w:rsidR="004970A6" w:rsidRDefault="004970A6">
      <w:pPr>
        <w:pStyle w:val="Merknadstekst"/>
      </w:pPr>
      <w:r>
        <w:rPr>
          <w:rStyle w:val="Merknadsreferanse"/>
        </w:rPr>
        <w:annotationRef/>
      </w:r>
      <w:r>
        <w:t>Bra.</w:t>
      </w:r>
    </w:p>
  </w:comment>
  <w:comment w:id="34" w:author="Ingeborg Ousdal" w:date="2021-11-16T13:20:00Z" w:initials="IO">
    <w:p w14:paraId="10EB3204" w14:textId="544D9A07" w:rsidR="00D27700" w:rsidRDefault="00D27700">
      <w:pPr>
        <w:pStyle w:val="Merknadstekst"/>
      </w:pPr>
      <w:r>
        <w:rPr>
          <w:rStyle w:val="Merknadsreferanse"/>
        </w:rPr>
        <w:annotationRef/>
      </w:r>
      <w:r>
        <w:t>Hvor forankres dette?</w:t>
      </w:r>
    </w:p>
  </w:comment>
  <w:comment w:id="35" w:author="Ingeborg Ousdal" w:date="2021-11-16T13:22:00Z" w:initials="IO">
    <w:p w14:paraId="401AEBDD" w14:textId="21B314FA" w:rsidR="00D27700" w:rsidRDefault="00D27700">
      <w:pPr>
        <w:pStyle w:val="Merknadstekst"/>
      </w:pPr>
      <w:r>
        <w:rPr>
          <w:rStyle w:val="Merknadsreferanse"/>
        </w:rPr>
        <w:annotationRef/>
      </w:r>
      <w:r>
        <w:t xml:space="preserve">Det følger av rettspraksis at særlig engasjement i en konkret sak kan medføre inhabilitet etter en helhetsvurdering. Per sin uttalelse i dette tilfellet kan ikke sies å være et engasjement av slik karakter. </w:t>
      </w:r>
    </w:p>
  </w:comment>
  <w:comment w:id="36" w:author="Ingeborg Ousdal" w:date="2021-11-18T09:38:00Z" w:initials="IO">
    <w:p w14:paraId="7C127613" w14:textId="5CF37798" w:rsidR="001447BB" w:rsidRDefault="001447BB">
      <w:pPr>
        <w:pStyle w:val="Merknadstekst"/>
      </w:pPr>
      <w:r>
        <w:rPr>
          <w:rStyle w:val="Merknadsreferanse"/>
        </w:rPr>
        <w:annotationRef/>
      </w:r>
      <w:r>
        <w:t>Her har kandidaten mange gode poenger, men dette kunne med fordel ha kommet tidligere i drøftelsen.</w:t>
      </w:r>
    </w:p>
  </w:comment>
  <w:comment w:id="37" w:author="Ingeborg Ousdal" w:date="2021-11-16T13:26:00Z" w:initials="IO">
    <w:p w14:paraId="79D3C00B" w14:textId="3298E130" w:rsidR="001447BB" w:rsidRDefault="00D27700">
      <w:pPr>
        <w:pStyle w:val="Merknadstekst"/>
      </w:pPr>
      <w:r>
        <w:rPr>
          <w:rStyle w:val="Merknadsreferanse"/>
        </w:rPr>
        <w:annotationRef/>
      </w:r>
      <w:r>
        <w:t xml:space="preserve">Bra at kandidaten har en tydelig konklusjon. </w:t>
      </w:r>
    </w:p>
  </w:comment>
  <w:comment w:id="38" w:author="Ingeborg Ousdal" w:date="2021-11-16T13:26:00Z" w:initials="IO">
    <w:p w14:paraId="75AFA59E" w14:textId="50EBDD15" w:rsidR="00D27700" w:rsidRDefault="00D27700">
      <w:pPr>
        <w:pStyle w:val="Merknadstekst"/>
      </w:pPr>
      <w:r>
        <w:rPr>
          <w:rStyle w:val="Merknadsreferanse"/>
        </w:rPr>
        <w:annotationRef/>
      </w:r>
      <w:r>
        <w:t xml:space="preserve">Bra. </w:t>
      </w:r>
    </w:p>
  </w:comment>
  <w:comment w:id="39" w:author="Ingeborg Ousdal" w:date="2021-11-16T13:29:00Z" w:initials="IO">
    <w:p w14:paraId="159C6326" w14:textId="77777777" w:rsidR="004300A8" w:rsidRDefault="004300A8">
      <w:pPr>
        <w:pStyle w:val="Merknadstekst"/>
      </w:pPr>
      <w:r>
        <w:rPr>
          <w:rStyle w:val="Merknadsreferanse"/>
        </w:rPr>
        <w:annotationRef/>
      </w:r>
      <w:r>
        <w:t xml:space="preserve">Her er det også et viktig poeng at Spesialitetsnemnda ikke treffer «avgjørelse i saken», jf. </w:t>
      </w:r>
      <w:proofErr w:type="spellStart"/>
      <w:r>
        <w:t>fvl</w:t>
      </w:r>
      <w:proofErr w:type="spellEnd"/>
      <w:r>
        <w:t xml:space="preserve">. § 6 (3). Nemnda er kun med på å «tilrettelegge grunnlaget for en avgjørelse» jf. § 6 (1). </w:t>
      </w:r>
    </w:p>
    <w:p w14:paraId="79D81775" w14:textId="77777777" w:rsidR="004300A8" w:rsidRDefault="004300A8">
      <w:pPr>
        <w:pStyle w:val="Merknadstekst"/>
      </w:pPr>
    </w:p>
    <w:p w14:paraId="69E24ED1" w14:textId="4F6C233E" w:rsidR="004300A8" w:rsidRDefault="004300A8">
      <w:pPr>
        <w:pStyle w:val="Merknadstekst"/>
      </w:pPr>
      <w:r>
        <w:t xml:space="preserve">Det følger også av faktum at hver stemme teller likt, hvilket er et argument mot at det foreligger et over/underordnet forhold som bestemmelsen i </w:t>
      </w:r>
      <w:proofErr w:type="spellStart"/>
      <w:r w:rsidR="001447BB">
        <w:t>fvl</w:t>
      </w:r>
      <w:proofErr w:type="spellEnd"/>
      <w:r w:rsidR="001447BB">
        <w:t xml:space="preserve">. § 6 </w:t>
      </w:r>
      <w:r>
        <w:t xml:space="preserve">(3) er ment å fange opp. </w:t>
      </w:r>
    </w:p>
  </w:comment>
  <w:comment w:id="40" w:author="Ingeborg Ousdal" w:date="2021-11-16T13:31:00Z" w:initials="IO">
    <w:p w14:paraId="5822BBC0" w14:textId="2AB533F0" w:rsidR="004300A8" w:rsidRDefault="004300A8">
      <w:pPr>
        <w:pStyle w:val="Merknadstekst"/>
      </w:pPr>
      <w:r>
        <w:rPr>
          <w:rStyle w:val="Merknadsreferanse"/>
        </w:rPr>
        <w:annotationRef/>
      </w:r>
      <w:r>
        <w:t xml:space="preserve">Bra med tydelig konklusjon. </w:t>
      </w:r>
    </w:p>
  </w:comment>
  <w:comment w:id="41" w:author="Ingeborg Ousdal" w:date="2021-11-16T13:34:00Z" w:initials="IO">
    <w:p w14:paraId="033A96CB" w14:textId="5C00CCF1" w:rsidR="00E81C8A" w:rsidRDefault="00E81C8A">
      <w:pPr>
        <w:pStyle w:val="Merknadstekst"/>
      </w:pPr>
      <w:r>
        <w:rPr>
          <w:rStyle w:val="Merknadsreferanse"/>
        </w:rPr>
        <w:annotationRef/>
      </w:r>
      <w:r>
        <w:t xml:space="preserve">Det følger av faktum at FHI er et organ underlagt Helse- og omsorgsdepartementet. Dette burde derfor ikke blitt problematisert. </w:t>
      </w:r>
    </w:p>
  </w:comment>
  <w:comment w:id="42" w:author="Ingeborg Ousdal" w:date="2021-11-16T13:37:00Z" w:initials="IO">
    <w:p w14:paraId="25C32B85" w14:textId="0290EED9" w:rsidR="00E81C8A" w:rsidRDefault="00E81C8A">
      <w:pPr>
        <w:pStyle w:val="Merknadstekst"/>
      </w:pPr>
      <w:r>
        <w:rPr>
          <w:rStyle w:val="Merknadsreferanse"/>
        </w:rPr>
        <w:annotationRef/>
      </w:r>
      <w:r>
        <w:t>Metodisk burde kandidaten ha samlet argumentene som trekker i samme retning i et</w:t>
      </w:r>
      <w:r w:rsidR="001447BB">
        <w:t>t</w:t>
      </w:r>
      <w:r>
        <w:t xml:space="preserve"> avsnitt. Her er argumenter som trekker i ulik retning behandlet i samme avsnitt. </w:t>
      </w:r>
    </w:p>
  </w:comment>
  <w:comment w:id="43" w:author="Ingeborg Ousdal" w:date="2021-11-16T13:42:00Z" w:initials="IO">
    <w:p w14:paraId="73660F19" w14:textId="3568026C" w:rsidR="008D0177" w:rsidRDefault="008D0177">
      <w:pPr>
        <w:pStyle w:val="Merknadstekst"/>
      </w:pPr>
      <w:r>
        <w:rPr>
          <w:rStyle w:val="Merknadsreferanse"/>
        </w:rPr>
        <w:annotationRef/>
      </w:r>
      <w:r>
        <w:t xml:space="preserve">God forståelse av faktum. </w:t>
      </w:r>
    </w:p>
  </w:comment>
  <w:comment w:id="44" w:author="Ingeborg Ousdal" w:date="2021-11-16T13:43:00Z" w:initials="IO">
    <w:p w14:paraId="7231C518" w14:textId="69455071" w:rsidR="008D0177" w:rsidRDefault="008D0177">
      <w:pPr>
        <w:pStyle w:val="Merknadstekst"/>
      </w:pPr>
      <w:r>
        <w:rPr>
          <w:rStyle w:val="Merknadsreferanse"/>
        </w:rPr>
        <w:annotationRef/>
      </w:r>
      <w:r>
        <w:t xml:space="preserve">Nettopp – avgjørelsen var ikke bestemmende for rettsstillingen knyttet til markedsføringstillatelsen. </w:t>
      </w:r>
    </w:p>
  </w:comment>
  <w:comment w:id="45" w:author="Ingeborg Ousdal" w:date="2021-11-16T13:44:00Z" w:initials="IO">
    <w:p w14:paraId="232BF9A3" w14:textId="630CE1D8" w:rsidR="008D0177" w:rsidRDefault="008D0177">
      <w:pPr>
        <w:pStyle w:val="Merknadstekst"/>
      </w:pPr>
      <w:r>
        <w:rPr>
          <w:rStyle w:val="Merknadsreferanse"/>
        </w:rPr>
        <w:annotationRef/>
      </w:r>
      <w:r>
        <w:t xml:space="preserve">Vurderer kandidaten her nå om advarselen er en forskrift etter </w:t>
      </w:r>
      <w:proofErr w:type="spellStart"/>
      <w:r>
        <w:t>fvl</w:t>
      </w:r>
      <w:proofErr w:type="spellEnd"/>
      <w:r>
        <w:t xml:space="preserve">. § 2 (1) bokstav c? Må i så fall vise til loven. Dessuten er ikke dette problematisert eller anført, så kandidaten kunne utelatt denne vurderingen. </w:t>
      </w:r>
    </w:p>
  </w:comment>
  <w:comment w:id="46" w:author="Ingeborg Ousdal" w:date="2021-11-16T13:46:00Z" w:initials="IO">
    <w:p w14:paraId="004113CF" w14:textId="06BFD2C2" w:rsidR="008D0177" w:rsidRDefault="008D0177">
      <w:pPr>
        <w:pStyle w:val="Merknadstekst"/>
      </w:pPr>
      <w:r>
        <w:rPr>
          <w:rStyle w:val="Merknadsreferanse"/>
        </w:rPr>
        <w:annotationRef/>
      </w:r>
      <w:r>
        <w:t xml:space="preserve">Bra. </w:t>
      </w:r>
    </w:p>
  </w:comment>
  <w:comment w:id="47" w:author="Ingeborg Ousdal" w:date="2021-11-16T13:49:00Z" w:initials="IO">
    <w:p w14:paraId="08052071" w14:textId="20CAE23B" w:rsidR="008D0177" w:rsidRDefault="008D0177">
      <w:pPr>
        <w:pStyle w:val="Merknadstekst"/>
      </w:pPr>
      <w:r>
        <w:rPr>
          <w:rStyle w:val="Merknadsreferanse"/>
        </w:rPr>
        <w:annotationRef/>
      </w:r>
      <w:r>
        <w:t xml:space="preserve">Når det offentlige går ut på denne måten og gir offentlige advarsler, er det naturlig å anse dette som </w:t>
      </w:r>
      <w:r w:rsidR="005D199D">
        <w:t>«</w:t>
      </w:r>
      <w:r>
        <w:t>utø</w:t>
      </w:r>
      <w:r w:rsidR="005D199D">
        <w:t xml:space="preserve">ving </w:t>
      </w:r>
      <w:r>
        <w:t>av offentlig myndighet</w:t>
      </w:r>
      <w:r w:rsidR="005D199D">
        <w:t xml:space="preserve">», jf. </w:t>
      </w:r>
      <w:proofErr w:type="spellStart"/>
      <w:r w:rsidR="005D199D">
        <w:t>fvl</w:t>
      </w:r>
      <w:proofErr w:type="spellEnd"/>
      <w:r w:rsidR="005D199D">
        <w:t>. § 2 (1) bokstav a</w:t>
      </w:r>
      <w:r>
        <w:t xml:space="preserve">. </w:t>
      </w:r>
    </w:p>
  </w:comment>
  <w:comment w:id="48" w:author="Ingeborg Ousdal" w:date="2021-11-16T13:51:00Z" w:initials="IO">
    <w:p w14:paraId="2255A523" w14:textId="5231BDB3" w:rsidR="005D199D" w:rsidRDefault="005D199D">
      <w:pPr>
        <w:pStyle w:val="Merknadstekst"/>
      </w:pPr>
      <w:r>
        <w:rPr>
          <w:rStyle w:val="Merknadsreferanse"/>
        </w:rPr>
        <w:annotationRef/>
      </w:r>
      <w:r>
        <w:t xml:space="preserve">Ikke nødvendig. Oppgaven etterspør om advarselen er å forstå som et vedtak. Denne delen av besvarelsen er for omfattende. </w:t>
      </w:r>
    </w:p>
  </w:comment>
  <w:comment w:id="49" w:author="Ingeborg Ousdal" w:date="2021-11-18T09:47:00Z" w:initials="IO">
    <w:p w14:paraId="0D27AED6" w14:textId="348BC774" w:rsidR="001447BB" w:rsidRDefault="001447BB">
      <w:pPr>
        <w:pStyle w:val="Merknadstekst"/>
      </w:pPr>
      <w:r>
        <w:rPr>
          <w:rStyle w:val="Merknadsreferanse"/>
        </w:rPr>
        <w:annotationRef/>
      </w:r>
      <w:r>
        <w:t>Samlet vurdering av besvarelsen:</w:t>
      </w:r>
      <w:r>
        <w:br/>
      </w:r>
      <w:r>
        <w:br/>
        <w:t xml:space="preserve">Kandidaten evner å finne frem til riktig lovbestemmelse og bruker faktum på en god måte gjennom hele besvarelsen. </w:t>
      </w:r>
      <w:r w:rsidR="007B6241">
        <w:br/>
      </w:r>
      <w:r w:rsidR="007B6241">
        <w:br/>
        <w:t xml:space="preserve">Det er allikevel forbedringspotensial når det kommer til struktur og juridisk metode. Som nevnt finner kandidaten frem til riktig sted i loven, men utelater ved flere anledninger å vise til lovtekst og paragraf. Dette gjør besvarelsen vanskelig å følge, og er en svakhet.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C23F50" w15:done="0"/>
  <w15:commentEx w15:paraId="6FE58E24" w15:done="0"/>
  <w15:commentEx w15:paraId="27D3F07E" w15:done="0"/>
  <w15:commentEx w15:paraId="62AE6B1E" w15:done="0"/>
  <w15:commentEx w15:paraId="7ED6A2A9" w15:done="0"/>
  <w15:commentEx w15:paraId="24790875" w15:done="0"/>
  <w15:commentEx w15:paraId="6D4231B8" w15:done="0"/>
  <w15:commentEx w15:paraId="5E9ADD7B" w15:done="0"/>
  <w15:commentEx w15:paraId="1E2E0262" w15:done="0"/>
  <w15:commentEx w15:paraId="29545DF2" w15:done="0"/>
  <w15:commentEx w15:paraId="2C8F2823" w15:done="0"/>
  <w15:commentEx w15:paraId="1559BF11" w15:done="0"/>
  <w15:commentEx w15:paraId="6A28DCFC" w15:done="0"/>
  <w15:commentEx w15:paraId="63EC54CD" w15:done="0"/>
  <w15:commentEx w15:paraId="1225017F" w15:done="0"/>
  <w15:commentEx w15:paraId="663621C3" w15:done="0"/>
  <w15:commentEx w15:paraId="11ABF706" w15:done="0"/>
  <w15:commentEx w15:paraId="197AC4B0" w15:done="0"/>
  <w15:commentEx w15:paraId="5F5723C3" w15:done="0"/>
  <w15:commentEx w15:paraId="13563D24" w15:done="0"/>
  <w15:commentEx w15:paraId="1D6E78A8" w15:done="0"/>
  <w15:commentEx w15:paraId="0F582F58" w15:done="0"/>
  <w15:commentEx w15:paraId="01FF792F" w15:done="0"/>
  <w15:commentEx w15:paraId="6AA6B19E" w15:done="0"/>
  <w15:commentEx w15:paraId="2225813B" w15:done="0"/>
  <w15:commentEx w15:paraId="60E3970D" w15:done="0"/>
  <w15:commentEx w15:paraId="44FE2E53" w15:done="0"/>
  <w15:commentEx w15:paraId="5E3BE272" w15:done="0"/>
  <w15:commentEx w15:paraId="0A853823" w15:done="0"/>
  <w15:commentEx w15:paraId="53D170B7" w15:done="0"/>
  <w15:commentEx w15:paraId="084EE98A" w15:done="0"/>
  <w15:commentEx w15:paraId="365A3BD8" w15:done="0"/>
  <w15:commentEx w15:paraId="055420BC" w15:done="0"/>
  <w15:commentEx w15:paraId="44BD9FB8" w15:done="0"/>
  <w15:commentEx w15:paraId="10EB3204" w15:done="0"/>
  <w15:commentEx w15:paraId="401AEBDD" w15:done="0"/>
  <w15:commentEx w15:paraId="7C127613" w15:done="0"/>
  <w15:commentEx w15:paraId="79D3C00B" w15:done="0"/>
  <w15:commentEx w15:paraId="75AFA59E" w15:done="0"/>
  <w15:commentEx w15:paraId="69E24ED1" w15:done="0"/>
  <w15:commentEx w15:paraId="5822BBC0" w15:done="0"/>
  <w15:commentEx w15:paraId="033A96CB" w15:done="0"/>
  <w15:commentEx w15:paraId="25C32B85" w15:done="0"/>
  <w15:commentEx w15:paraId="73660F19" w15:done="0"/>
  <w15:commentEx w15:paraId="7231C518" w15:done="0"/>
  <w15:commentEx w15:paraId="232BF9A3" w15:done="0"/>
  <w15:commentEx w15:paraId="004113CF" w15:done="0"/>
  <w15:commentEx w15:paraId="08052071" w15:done="0"/>
  <w15:commentEx w15:paraId="2255A523" w15:done="0"/>
  <w15:commentEx w15:paraId="0D27AE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E1F8D" w16cex:dateUtc="2021-11-16T11:16:00Z"/>
  <w16cex:commentExtensible w16cex:durableId="253E1E59" w16cex:dateUtc="2021-11-16T11:11:00Z"/>
  <w16cex:commentExtensible w16cex:durableId="253E1FEE" w16cex:dateUtc="2021-11-16T11:17:00Z"/>
  <w16cex:commentExtensible w16cex:durableId="253E2045" w16cex:dateUtc="2021-11-16T11:19:00Z"/>
  <w16cex:commentExtensible w16cex:durableId="253E2107" w16cex:dateUtc="2021-11-16T11:22:00Z"/>
  <w16cex:commentExtensible w16cex:durableId="253E21B1" w16cex:dateUtc="2021-11-16T11:25:00Z"/>
  <w16cex:commentExtensible w16cex:durableId="253E223D" w16cex:dateUtc="2021-11-16T11:27:00Z"/>
  <w16cex:commentExtensible w16cex:durableId="253E2316" w16cex:dateUtc="2021-11-16T11:31:00Z"/>
  <w16cex:commentExtensible w16cex:durableId="253E23A6" w16cex:dateUtc="2021-11-16T11:33:00Z"/>
  <w16cex:commentExtensible w16cex:durableId="25409894" w16cex:dateUtc="2021-11-18T08:17:00Z"/>
  <w16cex:commentExtensible w16cex:durableId="253E254B" w16cex:dateUtc="2021-11-16T11:40:00Z"/>
  <w16cex:commentExtensible w16cex:durableId="253E25A2" w16cex:dateUtc="2021-11-16T11:42:00Z"/>
  <w16cex:commentExtensible w16cex:durableId="253E2622" w16cex:dateUtc="2021-11-16T11:44:00Z"/>
  <w16cex:commentExtensible w16cex:durableId="253E2662" w16cex:dateUtc="2021-11-16T11:45:00Z"/>
  <w16cex:commentExtensible w16cex:durableId="253E276F" w16cex:dateUtc="2021-11-16T11:49:00Z"/>
  <w16cex:commentExtensible w16cex:durableId="253E26F3" w16cex:dateUtc="2021-11-16T11:47:00Z"/>
  <w16cex:commentExtensible w16cex:durableId="25409975" w16cex:dateUtc="2021-11-18T08:20:00Z"/>
  <w16cex:commentExtensible w16cex:durableId="253E27EF" w16cex:dateUtc="2021-11-16T11:51:00Z"/>
  <w16cex:commentExtensible w16cex:durableId="253E2818" w16cex:dateUtc="2021-11-16T11:52:00Z"/>
  <w16cex:commentExtensible w16cex:durableId="253E2860" w16cex:dateUtc="2021-11-16T11:53:00Z"/>
  <w16cex:commentExtensible w16cex:durableId="253E289C" w16cex:dateUtc="2021-11-16T11:54:00Z"/>
  <w16cex:commentExtensible w16cex:durableId="253E297F" w16cex:dateUtc="2021-11-16T11:58:00Z"/>
  <w16cex:commentExtensible w16cex:durableId="253E29B8" w16cex:dateUtc="2021-11-16T11:59:00Z"/>
  <w16cex:commentExtensible w16cex:durableId="25409A95" w16cex:dateUtc="2021-11-18T08:25:00Z"/>
  <w16cex:commentExtensible w16cex:durableId="253E2A31" w16cex:dateUtc="2021-11-16T12:01:00Z"/>
  <w16cex:commentExtensible w16cex:durableId="25409BD3" w16cex:dateUtc="2021-11-18T08:30:00Z"/>
  <w16cex:commentExtensible w16cex:durableId="253E2AF8" w16cex:dateUtc="2021-11-16T12:04:00Z"/>
  <w16cex:commentExtensible w16cex:durableId="253E2B12" w16cex:dateUtc="2021-11-16T12:05:00Z"/>
  <w16cex:commentExtensible w16cex:durableId="253E2BFD" w16cex:dateUtc="2021-11-16T12:09:00Z"/>
  <w16cex:commentExtensible w16cex:durableId="253E2C32" w16cex:dateUtc="2021-11-16T12:10:00Z"/>
  <w16cex:commentExtensible w16cex:durableId="253E2C6A" w16cex:dateUtc="2021-11-16T12:11:00Z"/>
  <w16cex:commentExtensible w16cex:durableId="253E2C83" w16cex:dateUtc="2021-11-16T12:11:00Z"/>
  <w16cex:commentExtensible w16cex:durableId="253E2DA7" w16cex:dateUtc="2021-11-16T12:16:00Z"/>
  <w16cex:commentExtensible w16cex:durableId="253E2E1E" w16cex:dateUtc="2021-11-16T12:18:00Z"/>
  <w16cex:commentExtensible w16cex:durableId="253E2EAF" w16cex:dateUtc="2021-11-16T12:20:00Z"/>
  <w16cex:commentExtensible w16cex:durableId="253E2F21" w16cex:dateUtc="2021-11-16T12:22:00Z"/>
  <w16cex:commentExtensible w16cex:durableId="25409D8D" w16cex:dateUtc="2021-11-18T08:38:00Z"/>
  <w16cex:commentExtensible w16cex:durableId="253E2FF8" w16cex:dateUtc="2021-11-16T12:26:00Z"/>
  <w16cex:commentExtensible w16cex:durableId="253E3021" w16cex:dateUtc="2021-11-16T12:26:00Z"/>
  <w16cex:commentExtensible w16cex:durableId="253E30CF" w16cex:dateUtc="2021-11-16T12:29:00Z"/>
  <w16cex:commentExtensible w16cex:durableId="253E312D" w16cex:dateUtc="2021-11-16T12:31:00Z"/>
  <w16cex:commentExtensible w16cex:durableId="253E31F8" w16cex:dateUtc="2021-11-16T12:34:00Z"/>
  <w16cex:commentExtensible w16cex:durableId="253E329A" w16cex:dateUtc="2021-11-16T12:37:00Z"/>
  <w16cex:commentExtensible w16cex:durableId="253E33AF" w16cex:dateUtc="2021-11-16T12:42:00Z"/>
  <w16cex:commentExtensible w16cex:durableId="253E33F3" w16cex:dateUtc="2021-11-16T12:43:00Z"/>
  <w16cex:commentExtensible w16cex:durableId="253E345B" w16cex:dateUtc="2021-11-16T12:44:00Z"/>
  <w16cex:commentExtensible w16cex:durableId="253E34D2" w16cex:dateUtc="2021-11-16T12:46:00Z"/>
  <w16cex:commentExtensible w16cex:durableId="253E356C" w16cex:dateUtc="2021-11-16T12:49:00Z"/>
  <w16cex:commentExtensible w16cex:durableId="253E35C9" w16cex:dateUtc="2021-11-16T12:51:00Z"/>
  <w16cex:commentExtensible w16cex:durableId="25409FBE" w16cex:dateUtc="2021-11-18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C23F50" w16cid:durableId="253E1F8D"/>
  <w16cid:commentId w16cid:paraId="6FE58E24" w16cid:durableId="253E1E59"/>
  <w16cid:commentId w16cid:paraId="27D3F07E" w16cid:durableId="253E1FEE"/>
  <w16cid:commentId w16cid:paraId="62AE6B1E" w16cid:durableId="253E2045"/>
  <w16cid:commentId w16cid:paraId="7ED6A2A9" w16cid:durableId="253E2107"/>
  <w16cid:commentId w16cid:paraId="24790875" w16cid:durableId="253E21B1"/>
  <w16cid:commentId w16cid:paraId="6D4231B8" w16cid:durableId="253E223D"/>
  <w16cid:commentId w16cid:paraId="5E9ADD7B" w16cid:durableId="253E2316"/>
  <w16cid:commentId w16cid:paraId="1E2E0262" w16cid:durableId="253E23A6"/>
  <w16cid:commentId w16cid:paraId="29545DF2" w16cid:durableId="25409894"/>
  <w16cid:commentId w16cid:paraId="2C8F2823" w16cid:durableId="253E254B"/>
  <w16cid:commentId w16cid:paraId="1559BF11" w16cid:durableId="253E25A2"/>
  <w16cid:commentId w16cid:paraId="6A28DCFC" w16cid:durableId="253E2622"/>
  <w16cid:commentId w16cid:paraId="63EC54CD" w16cid:durableId="253E2662"/>
  <w16cid:commentId w16cid:paraId="1225017F" w16cid:durableId="253E276F"/>
  <w16cid:commentId w16cid:paraId="663621C3" w16cid:durableId="253E26F3"/>
  <w16cid:commentId w16cid:paraId="11ABF706" w16cid:durableId="25409975"/>
  <w16cid:commentId w16cid:paraId="197AC4B0" w16cid:durableId="253E27EF"/>
  <w16cid:commentId w16cid:paraId="5F5723C3" w16cid:durableId="253E2818"/>
  <w16cid:commentId w16cid:paraId="13563D24" w16cid:durableId="253E2860"/>
  <w16cid:commentId w16cid:paraId="1D6E78A8" w16cid:durableId="253E289C"/>
  <w16cid:commentId w16cid:paraId="0F582F58" w16cid:durableId="253E297F"/>
  <w16cid:commentId w16cid:paraId="01FF792F" w16cid:durableId="253E29B8"/>
  <w16cid:commentId w16cid:paraId="6AA6B19E" w16cid:durableId="25409A95"/>
  <w16cid:commentId w16cid:paraId="2225813B" w16cid:durableId="253E2A31"/>
  <w16cid:commentId w16cid:paraId="60E3970D" w16cid:durableId="25409BD3"/>
  <w16cid:commentId w16cid:paraId="44FE2E53" w16cid:durableId="253E2AF8"/>
  <w16cid:commentId w16cid:paraId="5E3BE272" w16cid:durableId="253E2B12"/>
  <w16cid:commentId w16cid:paraId="0A853823" w16cid:durableId="253E2BFD"/>
  <w16cid:commentId w16cid:paraId="53D170B7" w16cid:durableId="253E2C32"/>
  <w16cid:commentId w16cid:paraId="084EE98A" w16cid:durableId="253E2C6A"/>
  <w16cid:commentId w16cid:paraId="365A3BD8" w16cid:durableId="253E2C83"/>
  <w16cid:commentId w16cid:paraId="055420BC" w16cid:durableId="253E2DA7"/>
  <w16cid:commentId w16cid:paraId="44BD9FB8" w16cid:durableId="253E2E1E"/>
  <w16cid:commentId w16cid:paraId="10EB3204" w16cid:durableId="253E2EAF"/>
  <w16cid:commentId w16cid:paraId="401AEBDD" w16cid:durableId="253E2F21"/>
  <w16cid:commentId w16cid:paraId="7C127613" w16cid:durableId="25409D8D"/>
  <w16cid:commentId w16cid:paraId="79D3C00B" w16cid:durableId="253E2FF8"/>
  <w16cid:commentId w16cid:paraId="75AFA59E" w16cid:durableId="253E3021"/>
  <w16cid:commentId w16cid:paraId="69E24ED1" w16cid:durableId="253E30CF"/>
  <w16cid:commentId w16cid:paraId="5822BBC0" w16cid:durableId="253E312D"/>
  <w16cid:commentId w16cid:paraId="033A96CB" w16cid:durableId="253E31F8"/>
  <w16cid:commentId w16cid:paraId="25C32B85" w16cid:durableId="253E329A"/>
  <w16cid:commentId w16cid:paraId="73660F19" w16cid:durableId="253E33AF"/>
  <w16cid:commentId w16cid:paraId="7231C518" w16cid:durableId="253E33F3"/>
  <w16cid:commentId w16cid:paraId="232BF9A3" w16cid:durableId="253E345B"/>
  <w16cid:commentId w16cid:paraId="004113CF" w16cid:durableId="253E34D2"/>
  <w16cid:commentId w16cid:paraId="08052071" w16cid:durableId="253E356C"/>
  <w16cid:commentId w16cid:paraId="2255A523" w16cid:durableId="253E35C9"/>
  <w16cid:commentId w16cid:paraId="0D27AED6" w16cid:durableId="25409F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geborg Ousdal">
    <w15:presenceInfo w15:providerId="AD" w15:userId="S::ingeborg.ousdal@cms-kluge.com::a8d11ac3-2f1b-430c-b497-3774fbe6a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ED"/>
    <w:rsid w:val="00091342"/>
    <w:rsid w:val="001447BB"/>
    <w:rsid w:val="00173167"/>
    <w:rsid w:val="001A3896"/>
    <w:rsid w:val="001C1B07"/>
    <w:rsid w:val="00295822"/>
    <w:rsid w:val="0034327C"/>
    <w:rsid w:val="00381917"/>
    <w:rsid w:val="004300A8"/>
    <w:rsid w:val="004970A6"/>
    <w:rsid w:val="00502860"/>
    <w:rsid w:val="005D199D"/>
    <w:rsid w:val="007A41F7"/>
    <w:rsid w:val="007B6241"/>
    <w:rsid w:val="007C63D7"/>
    <w:rsid w:val="00883EEF"/>
    <w:rsid w:val="008D0177"/>
    <w:rsid w:val="008D5C93"/>
    <w:rsid w:val="00905D5F"/>
    <w:rsid w:val="0095134D"/>
    <w:rsid w:val="00A14A71"/>
    <w:rsid w:val="00A33E15"/>
    <w:rsid w:val="00A55179"/>
    <w:rsid w:val="00A95478"/>
    <w:rsid w:val="00AB2753"/>
    <w:rsid w:val="00C36A3E"/>
    <w:rsid w:val="00C7559F"/>
    <w:rsid w:val="00CD1EA7"/>
    <w:rsid w:val="00D0266B"/>
    <w:rsid w:val="00D27700"/>
    <w:rsid w:val="00D31A99"/>
    <w:rsid w:val="00D547F4"/>
    <w:rsid w:val="00D96995"/>
    <w:rsid w:val="00DB6085"/>
    <w:rsid w:val="00E81C8A"/>
    <w:rsid w:val="00EC0FFC"/>
    <w:rsid w:val="00EC7EF8"/>
    <w:rsid w:val="00EE16A1"/>
    <w:rsid w:val="00EE57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12E1"/>
  <w15:chartTrackingRefBased/>
  <w15:docId w15:val="{EB3766C9-DFE7-6D41-9B63-08F964BC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E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96995"/>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C7559F"/>
    <w:rPr>
      <w:sz w:val="16"/>
      <w:szCs w:val="16"/>
    </w:rPr>
  </w:style>
  <w:style w:type="paragraph" w:styleId="Merknadstekst">
    <w:name w:val="annotation text"/>
    <w:basedOn w:val="Normal"/>
    <w:link w:val="MerknadstekstTegn"/>
    <w:uiPriority w:val="99"/>
    <w:semiHidden/>
    <w:unhideWhenUsed/>
    <w:rsid w:val="00C7559F"/>
    <w:rPr>
      <w:sz w:val="20"/>
      <w:szCs w:val="20"/>
    </w:rPr>
  </w:style>
  <w:style w:type="character" w:customStyle="1" w:styleId="MerknadstekstTegn">
    <w:name w:val="Merknadstekst Tegn"/>
    <w:basedOn w:val="Standardskriftforavsnitt"/>
    <w:link w:val="Merknadstekst"/>
    <w:uiPriority w:val="99"/>
    <w:semiHidden/>
    <w:rsid w:val="00C7559F"/>
    <w:rPr>
      <w:sz w:val="20"/>
      <w:szCs w:val="20"/>
    </w:rPr>
  </w:style>
  <w:style w:type="paragraph" w:styleId="Kommentaremne">
    <w:name w:val="annotation subject"/>
    <w:basedOn w:val="Merknadstekst"/>
    <w:next w:val="Merknadstekst"/>
    <w:link w:val="KommentaremneTegn"/>
    <w:uiPriority w:val="99"/>
    <w:semiHidden/>
    <w:unhideWhenUsed/>
    <w:rsid w:val="00C7559F"/>
    <w:rPr>
      <w:b/>
      <w:bCs/>
    </w:rPr>
  </w:style>
  <w:style w:type="character" w:customStyle="1" w:styleId="KommentaremneTegn">
    <w:name w:val="Kommentaremne Tegn"/>
    <w:basedOn w:val="MerknadstekstTegn"/>
    <w:link w:val="Kommentaremne"/>
    <w:uiPriority w:val="99"/>
    <w:semiHidden/>
    <w:rsid w:val="00C7559F"/>
    <w:rPr>
      <w:b/>
      <w:bCs/>
      <w:sz w:val="20"/>
      <w:szCs w:val="20"/>
    </w:rPr>
  </w:style>
  <w:style w:type="paragraph" w:styleId="Bobletekst">
    <w:name w:val="Balloon Text"/>
    <w:basedOn w:val="Normal"/>
    <w:link w:val="BobletekstTegn"/>
    <w:uiPriority w:val="99"/>
    <w:semiHidden/>
    <w:unhideWhenUsed/>
    <w:rsid w:val="0095134D"/>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9513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7584">
      <w:bodyDiv w:val="1"/>
      <w:marLeft w:val="0"/>
      <w:marRight w:val="0"/>
      <w:marTop w:val="0"/>
      <w:marBottom w:val="0"/>
      <w:divBdr>
        <w:top w:val="none" w:sz="0" w:space="0" w:color="auto"/>
        <w:left w:val="none" w:sz="0" w:space="0" w:color="auto"/>
        <w:bottom w:val="none" w:sz="0" w:space="0" w:color="auto"/>
        <w:right w:val="none" w:sz="0" w:space="0" w:color="auto"/>
      </w:divBdr>
    </w:div>
    <w:div w:id="64838485">
      <w:bodyDiv w:val="1"/>
      <w:marLeft w:val="0"/>
      <w:marRight w:val="0"/>
      <w:marTop w:val="0"/>
      <w:marBottom w:val="0"/>
      <w:divBdr>
        <w:top w:val="none" w:sz="0" w:space="0" w:color="auto"/>
        <w:left w:val="none" w:sz="0" w:space="0" w:color="auto"/>
        <w:bottom w:val="none" w:sz="0" w:space="0" w:color="auto"/>
        <w:right w:val="none" w:sz="0" w:space="0" w:color="auto"/>
      </w:divBdr>
    </w:div>
    <w:div w:id="91433781">
      <w:bodyDiv w:val="1"/>
      <w:marLeft w:val="0"/>
      <w:marRight w:val="0"/>
      <w:marTop w:val="0"/>
      <w:marBottom w:val="0"/>
      <w:divBdr>
        <w:top w:val="none" w:sz="0" w:space="0" w:color="auto"/>
        <w:left w:val="none" w:sz="0" w:space="0" w:color="auto"/>
        <w:bottom w:val="none" w:sz="0" w:space="0" w:color="auto"/>
        <w:right w:val="none" w:sz="0" w:space="0" w:color="auto"/>
      </w:divBdr>
    </w:div>
    <w:div w:id="101927190">
      <w:bodyDiv w:val="1"/>
      <w:marLeft w:val="0"/>
      <w:marRight w:val="0"/>
      <w:marTop w:val="0"/>
      <w:marBottom w:val="0"/>
      <w:divBdr>
        <w:top w:val="none" w:sz="0" w:space="0" w:color="auto"/>
        <w:left w:val="none" w:sz="0" w:space="0" w:color="auto"/>
        <w:bottom w:val="none" w:sz="0" w:space="0" w:color="auto"/>
        <w:right w:val="none" w:sz="0" w:space="0" w:color="auto"/>
      </w:divBdr>
    </w:div>
    <w:div w:id="134563460">
      <w:bodyDiv w:val="1"/>
      <w:marLeft w:val="0"/>
      <w:marRight w:val="0"/>
      <w:marTop w:val="0"/>
      <w:marBottom w:val="0"/>
      <w:divBdr>
        <w:top w:val="none" w:sz="0" w:space="0" w:color="auto"/>
        <w:left w:val="none" w:sz="0" w:space="0" w:color="auto"/>
        <w:bottom w:val="none" w:sz="0" w:space="0" w:color="auto"/>
        <w:right w:val="none" w:sz="0" w:space="0" w:color="auto"/>
      </w:divBdr>
    </w:div>
    <w:div w:id="156851376">
      <w:bodyDiv w:val="1"/>
      <w:marLeft w:val="0"/>
      <w:marRight w:val="0"/>
      <w:marTop w:val="0"/>
      <w:marBottom w:val="0"/>
      <w:divBdr>
        <w:top w:val="none" w:sz="0" w:space="0" w:color="auto"/>
        <w:left w:val="none" w:sz="0" w:space="0" w:color="auto"/>
        <w:bottom w:val="none" w:sz="0" w:space="0" w:color="auto"/>
        <w:right w:val="none" w:sz="0" w:space="0" w:color="auto"/>
      </w:divBdr>
    </w:div>
    <w:div w:id="192228418">
      <w:bodyDiv w:val="1"/>
      <w:marLeft w:val="0"/>
      <w:marRight w:val="0"/>
      <w:marTop w:val="0"/>
      <w:marBottom w:val="0"/>
      <w:divBdr>
        <w:top w:val="none" w:sz="0" w:space="0" w:color="auto"/>
        <w:left w:val="none" w:sz="0" w:space="0" w:color="auto"/>
        <w:bottom w:val="none" w:sz="0" w:space="0" w:color="auto"/>
        <w:right w:val="none" w:sz="0" w:space="0" w:color="auto"/>
      </w:divBdr>
    </w:div>
    <w:div w:id="213589129">
      <w:bodyDiv w:val="1"/>
      <w:marLeft w:val="0"/>
      <w:marRight w:val="0"/>
      <w:marTop w:val="0"/>
      <w:marBottom w:val="0"/>
      <w:divBdr>
        <w:top w:val="none" w:sz="0" w:space="0" w:color="auto"/>
        <w:left w:val="none" w:sz="0" w:space="0" w:color="auto"/>
        <w:bottom w:val="none" w:sz="0" w:space="0" w:color="auto"/>
        <w:right w:val="none" w:sz="0" w:space="0" w:color="auto"/>
      </w:divBdr>
    </w:div>
    <w:div w:id="444882802">
      <w:bodyDiv w:val="1"/>
      <w:marLeft w:val="0"/>
      <w:marRight w:val="0"/>
      <w:marTop w:val="0"/>
      <w:marBottom w:val="0"/>
      <w:divBdr>
        <w:top w:val="none" w:sz="0" w:space="0" w:color="auto"/>
        <w:left w:val="none" w:sz="0" w:space="0" w:color="auto"/>
        <w:bottom w:val="none" w:sz="0" w:space="0" w:color="auto"/>
        <w:right w:val="none" w:sz="0" w:space="0" w:color="auto"/>
      </w:divBdr>
    </w:div>
    <w:div w:id="528448799">
      <w:bodyDiv w:val="1"/>
      <w:marLeft w:val="0"/>
      <w:marRight w:val="0"/>
      <w:marTop w:val="0"/>
      <w:marBottom w:val="0"/>
      <w:divBdr>
        <w:top w:val="none" w:sz="0" w:space="0" w:color="auto"/>
        <w:left w:val="none" w:sz="0" w:space="0" w:color="auto"/>
        <w:bottom w:val="none" w:sz="0" w:space="0" w:color="auto"/>
        <w:right w:val="none" w:sz="0" w:space="0" w:color="auto"/>
      </w:divBdr>
    </w:div>
    <w:div w:id="586228230">
      <w:bodyDiv w:val="1"/>
      <w:marLeft w:val="0"/>
      <w:marRight w:val="0"/>
      <w:marTop w:val="0"/>
      <w:marBottom w:val="0"/>
      <w:divBdr>
        <w:top w:val="none" w:sz="0" w:space="0" w:color="auto"/>
        <w:left w:val="none" w:sz="0" w:space="0" w:color="auto"/>
        <w:bottom w:val="none" w:sz="0" w:space="0" w:color="auto"/>
        <w:right w:val="none" w:sz="0" w:space="0" w:color="auto"/>
      </w:divBdr>
    </w:div>
    <w:div w:id="864054701">
      <w:bodyDiv w:val="1"/>
      <w:marLeft w:val="0"/>
      <w:marRight w:val="0"/>
      <w:marTop w:val="0"/>
      <w:marBottom w:val="0"/>
      <w:divBdr>
        <w:top w:val="none" w:sz="0" w:space="0" w:color="auto"/>
        <w:left w:val="none" w:sz="0" w:space="0" w:color="auto"/>
        <w:bottom w:val="none" w:sz="0" w:space="0" w:color="auto"/>
        <w:right w:val="none" w:sz="0" w:space="0" w:color="auto"/>
      </w:divBdr>
    </w:div>
    <w:div w:id="959073282">
      <w:bodyDiv w:val="1"/>
      <w:marLeft w:val="0"/>
      <w:marRight w:val="0"/>
      <w:marTop w:val="0"/>
      <w:marBottom w:val="0"/>
      <w:divBdr>
        <w:top w:val="none" w:sz="0" w:space="0" w:color="auto"/>
        <w:left w:val="none" w:sz="0" w:space="0" w:color="auto"/>
        <w:bottom w:val="none" w:sz="0" w:space="0" w:color="auto"/>
        <w:right w:val="none" w:sz="0" w:space="0" w:color="auto"/>
      </w:divBdr>
    </w:div>
    <w:div w:id="991252465">
      <w:bodyDiv w:val="1"/>
      <w:marLeft w:val="0"/>
      <w:marRight w:val="0"/>
      <w:marTop w:val="0"/>
      <w:marBottom w:val="0"/>
      <w:divBdr>
        <w:top w:val="none" w:sz="0" w:space="0" w:color="auto"/>
        <w:left w:val="none" w:sz="0" w:space="0" w:color="auto"/>
        <w:bottom w:val="none" w:sz="0" w:space="0" w:color="auto"/>
        <w:right w:val="none" w:sz="0" w:space="0" w:color="auto"/>
      </w:divBdr>
    </w:div>
    <w:div w:id="1010840626">
      <w:bodyDiv w:val="1"/>
      <w:marLeft w:val="0"/>
      <w:marRight w:val="0"/>
      <w:marTop w:val="0"/>
      <w:marBottom w:val="0"/>
      <w:divBdr>
        <w:top w:val="none" w:sz="0" w:space="0" w:color="auto"/>
        <w:left w:val="none" w:sz="0" w:space="0" w:color="auto"/>
        <w:bottom w:val="none" w:sz="0" w:space="0" w:color="auto"/>
        <w:right w:val="none" w:sz="0" w:space="0" w:color="auto"/>
      </w:divBdr>
    </w:div>
    <w:div w:id="1032002936">
      <w:bodyDiv w:val="1"/>
      <w:marLeft w:val="0"/>
      <w:marRight w:val="0"/>
      <w:marTop w:val="0"/>
      <w:marBottom w:val="0"/>
      <w:divBdr>
        <w:top w:val="none" w:sz="0" w:space="0" w:color="auto"/>
        <w:left w:val="none" w:sz="0" w:space="0" w:color="auto"/>
        <w:bottom w:val="none" w:sz="0" w:space="0" w:color="auto"/>
        <w:right w:val="none" w:sz="0" w:space="0" w:color="auto"/>
      </w:divBdr>
    </w:div>
    <w:div w:id="1090002211">
      <w:bodyDiv w:val="1"/>
      <w:marLeft w:val="0"/>
      <w:marRight w:val="0"/>
      <w:marTop w:val="0"/>
      <w:marBottom w:val="0"/>
      <w:divBdr>
        <w:top w:val="none" w:sz="0" w:space="0" w:color="auto"/>
        <w:left w:val="none" w:sz="0" w:space="0" w:color="auto"/>
        <w:bottom w:val="none" w:sz="0" w:space="0" w:color="auto"/>
        <w:right w:val="none" w:sz="0" w:space="0" w:color="auto"/>
      </w:divBdr>
    </w:div>
    <w:div w:id="1301572396">
      <w:bodyDiv w:val="1"/>
      <w:marLeft w:val="0"/>
      <w:marRight w:val="0"/>
      <w:marTop w:val="0"/>
      <w:marBottom w:val="0"/>
      <w:divBdr>
        <w:top w:val="none" w:sz="0" w:space="0" w:color="auto"/>
        <w:left w:val="none" w:sz="0" w:space="0" w:color="auto"/>
        <w:bottom w:val="none" w:sz="0" w:space="0" w:color="auto"/>
        <w:right w:val="none" w:sz="0" w:space="0" w:color="auto"/>
      </w:divBdr>
    </w:div>
    <w:div w:id="1393964646">
      <w:bodyDiv w:val="1"/>
      <w:marLeft w:val="0"/>
      <w:marRight w:val="0"/>
      <w:marTop w:val="0"/>
      <w:marBottom w:val="0"/>
      <w:divBdr>
        <w:top w:val="none" w:sz="0" w:space="0" w:color="auto"/>
        <w:left w:val="none" w:sz="0" w:space="0" w:color="auto"/>
        <w:bottom w:val="none" w:sz="0" w:space="0" w:color="auto"/>
        <w:right w:val="none" w:sz="0" w:space="0" w:color="auto"/>
      </w:divBdr>
    </w:div>
    <w:div w:id="1449469161">
      <w:bodyDiv w:val="1"/>
      <w:marLeft w:val="0"/>
      <w:marRight w:val="0"/>
      <w:marTop w:val="0"/>
      <w:marBottom w:val="0"/>
      <w:divBdr>
        <w:top w:val="none" w:sz="0" w:space="0" w:color="auto"/>
        <w:left w:val="none" w:sz="0" w:space="0" w:color="auto"/>
        <w:bottom w:val="none" w:sz="0" w:space="0" w:color="auto"/>
        <w:right w:val="none" w:sz="0" w:space="0" w:color="auto"/>
      </w:divBdr>
    </w:div>
    <w:div w:id="1542937725">
      <w:bodyDiv w:val="1"/>
      <w:marLeft w:val="0"/>
      <w:marRight w:val="0"/>
      <w:marTop w:val="0"/>
      <w:marBottom w:val="0"/>
      <w:divBdr>
        <w:top w:val="none" w:sz="0" w:space="0" w:color="auto"/>
        <w:left w:val="none" w:sz="0" w:space="0" w:color="auto"/>
        <w:bottom w:val="none" w:sz="0" w:space="0" w:color="auto"/>
        <w:right w:val="none" w:sz="0" w:space="0" w:color="auto"/>
      </w:divBdr>
    </w:div>
    <w:div w:id="1577545646">
      <w:bodyDiv w:val="1"/>
      <w:marLeft w:val="0"/>
      <w:marRight w:val="0"/>
      <w:marTop w:val="0"/>
      <w:marBottom w:val="0"/>
      <w:divBdr>
        <w:top w:val="none" w:sz="0" w:space="0" w:color="auto"/>
        <w:left w:val="none" w:sz="0" w:space="0" w:color="auto"/>
        <w:bottom w:val="none" w:sz="0" w:space="0" w:color="auto"/>
        <w:right w:val="none" w:sz="0" w:space="0" w:color="auto"/>
      </w:divBdr>
    </w:div>
    <w:div w:id="1593666653">
      <w:bodyDiv w:val="1"/>
      <w:marLeft w:val="0"/>
      <w:marRight w:val="0"/>
      <w:marTop w:val="0"/>
      <w:marBottom w:val="0"/>
      <w:divBdr>
        <w:top w:val="none" w:sz="0" w:space="0" w:color="auto"/>
        <w:left w:val="none" w:sz="0" w:space="0" w:color="auto"/>
        <w:bottom w:val="none" w:sz="0" w:space="0" w:color="auto"/>
        <w:right w:val="none" w:sz="0" w:space="0" w:color="auto"/>
      </w:divBdr>
    </w:div>
    <w:div w:id="1617373030">
      <w:bodyDiv w:val="1"/>
      <w:marLeft w:val="0"/>
      <w:marRight w:val="0"/>
      <w:marTop w:val="0"/>
      <w:marBottom w:val="0"/>
      <w:divBdr>
        <w:top w:val="none" w:sz="0" w:space="0" w:color="auto"/>
        <w:left w:val="none" w:sz="0" w:space="0" w:color="auto"/>
        <w:bottom w:val="none" w:sz="0" w:space="0" w:color="auto"/>
        <w:right w:val="none" w:sz="0" w:space="0" w:color="auto"/>
      </w:divBdr>
    </w:div>
    <w:div w:id="1634826596">
      <w:bodyDiv w:val="1"/>
      <w:marLeft w:val="0"/>
      <w:marRight w:val="0"/>
      <w:marTop w:val="0"/>
      <w:marBottom w:val="0"/>
      <w:divBdr>
        <w:top w:val="none" w:sz="0" w:space="0" w:color="auto"/>
        <w:left w:val="none" w:sz="0" w:space="0" w:color="auto"/>
        <w:bottom w:val="none" w:sz="0" w:space="0" w:color="auto"/>
        <w:right w:val="none" w:sz="0" w:space="0" w:color="auto"/>
      </w:divBdr>
    </w:div>
    <w:div w:id="1661998982">
      <w:bodyDiv w:val="1"/>
      <w:marLeft w:val="0"/>
      <w:marRight w:val="0"/>
      <w:marTop w:val="0"/>
      <w:marBottom w:val="0"/>
      <w:divBdr>
        <w:top w:val="none" w:sz="0" w:space="0" w:color="auto"/>
        <w:left w:val="none" w:sz="0" w:space="0" w:color="auto"/>
        <w:bottom w:val="none" w:sz="0" w:space="0" w:color="auto"/>
        <w:right w:val="none" w:sz="0" w:space="0" w:color="auto"/>
      </w:divBdr>
    </w:div>
    <w:div w:id="1772436091">
      <w:bodyDiv w:val="1"/>
      <w:marLeft w:val="0"/>
      <w:marRight w:val="0"/>
      <w:marTop w:val="0"/>
      <w:marBottom w:val="0"/>
      <w:divBdr>
        <w:top w:val="none" w:sz="0" w:space="0" w:color="auto"/>
        <w:left w:val="none" w:sz="0" w:space="0" w:color="auto"/>
        <w:bottom w:val="none" w:sz="0" w:space="0" w:color="auto"/>
        <w:right w:val="none" w:sz="0" w:space="0" w:color="auto"/>
      </w:divBdr>
    </w:div>
    <w:div w:id="1785493956">
      <w:bodyDiv w:val="1"/>
      <w:marLeft w:val="0"/>
      <w:marRight w:val="0"/>
      <w:marTop w:val="0"/>
      <w:marBottom w:val="0"/>
      <w:divBdr>
        <w:top w:val="none" w:sz="0" w:space="0" w:color="auto"/>
        <w:left w:val="none" w:sz="0" w:space="0" w:color="auto"/>
        <w:bottom w:val="none" w:sz="0" w:space="0" w:color="auto"/>
        <w:right w:val="none" w:sz="0" w:space="0" w:color="auto"/>
      </w:divBdr>
    </w:div>
    <w:div w:id="1822774523">
      <w:bodyDiv w:val="1"/>
      <w:marLeft w:val="0"/>
      <w:marRight w:val="0"/>
      <w:marTop w:val="0"/>
      <w:marBottom w:val="0"/>
      <w:divBdr>
        <w:top w:val="none" w:sz="0" w:space="0" w:color="auto"/>
        <w:left w:val="none" w:sz="0" w:space="0" w:color="auto"/>
        <w:bottom w:val="none" w:sz="0" w:space="0" w:color="auto"/>
        <w:right w:val="none" w:sz="0" w:space="0" w:color="auto"/>
      </w:divBdr>
    </w:div>
    <w:div w:id="1904098068">
      <w:bodyDiv w:val="1"/>
      <w:marLeft w:val="0"/>
      <w:marRight w:val="0"/>
      <w:marTop w:val="0"/>
      <w:marBottom w:val="0"/>
      <w:divBdr>
        <w:top w:val="none" w:sz="0" w:space="0" w:color="auto"/>
        <w:left w:val="none" w:sz="0" w:space="0" w:color="auto"/>
        <w:bottom w:val="none" w:sz="0" w:space="0" w:color="auto"/>
        <w:right w:val="none" w:sz="0" w:space="0" w:color="auto"/>
      </w:divBdr>
    </w:div>
    <w:div w:id="1915552759">
      <w:bodyDiv w:val="1"/>
      <w:marLeft w:val="0"/>
      <w:marRight w:val="0"/>
      <w:marTop w:val="0"/>
      <w:marBottom w:val="0"/>
      <w:divBdr>
        <w:top w:val="none" w:sz="0" w:space="0" w:color="auto"/>
        <w:left w:val="none" w:sz="0" w:space="0" w:color="auto"/>
        <w:bottom w:val="none" w:sz="0" w:space="0" w:color="auto"/>
        <w:right w:val="none" w:sz="0" w:space="0" w:color="auto"/>
      </w:divBdr>
    </w:div>
    <w:div w:id="1918788438">
      <w:bodyDiv w:val="1"/>
      <w:marLeft w:val="0"/>
      <w:marRight w:val="0"/>
      <w:marTop w:val="0"/>
      <w:marBottom w:val="0"/>
      <w:divBdr>
        <w:top w:val="none" w:sz="0" w:space="0" w:color="auto"/>
        <w:left w:val="none" w:sz="0" w:space="0" w:color="auto"/>
        <w:bottom w:val="none" w:sz="0" w:space="0" w:color="auto"/>
        <w:right w:val="none" w:sz="0" w:space="0" w:color="auto"/>
      </w:divBdr>
    </w:div>
    <w:div w:id="20676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A1003-AEFF-4531-819E-A8488E6F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3774</Words>
  <Characters>20008</Characters>
  <Application>Microsoft Office Word</Application>
  <DocSecurity>0</DocSecurity>
  <Lines>166</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Mossige</dc:creator>
  <cp:keywords/>
  <dc:description/>
  <cp:lastModifiedBy>Nora Yasmin Olsen</cp:lastModifiedBy>
  <cp:revision>11</cp:revision>
  <dcterms:created xsi:type="dcterms:W3CDTF">2021-11-16T11:30:00Z</dcterms:created>
  <dcterms:modified xsi:type="dcterms:W3CDTF">2021-11-18T17:56:00Z</dcterms:modified>
</cp:coreProperties>
</file>